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1" w:rsidRDefault="00D47301">
      <w:pPr>
        <w:rPr>
          <w:rStyle w:val="Strong"/>
          <w:rFonts w:ascii="Arial" w:hAnsi="Arial" w:cs="Arial"/>
          <w:color w:val="444444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hd w:val="clear" w:color="auto" w:fill="FFFFFF"/>
        </w:rPr>
        <w:t>Unidad 2</w:t>
      </w:r>
    </w:p>
    <w:p w:rsidR="00766381" w:rsidRDefault="00D47301">
      <w:pPr>
        <w:rPr>
          <w:rStyle w:val="Strong"/>
          <w:rFonts w:ascii="Arial" w:hAnsi="Arial" w:cs="Arial"/>
          <w:color w:val="444444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hd w:val="clear" w:color="auto" w:fill="FFFFFF"/>
        </w:rPr>
        <w:t xml:space="preserve">Respuesta a </w:t>
      </w:r>
      <w:proofErr w:type="spellStart"/>
      <w:proofErr w:type="gramStart"/>
      <w:r>
        <w:rPr>
          <w:rStyle w:val="Strong"/>
          <w:rFonts w:ascii="Arial" w:hAnsi="Arial" w:cs="Arial"/>
          <w:color w:val="444444"/>
          <w:shd w:val="clear" w:color="auto" w:fill="FFFFFF"/>
        </w:rPr>
        <w:t>Gianela</w:t>
      </w:r>
      <w:proofErr w:type="spellEnd"/>
      <w:r>
        <w:rPr>
          <w:rStyle w:val="Strong"/>
          <w:rFonts w:ascii="Arial" w:hAnsi="Arial" w:cs="Arial"/>
          <w:color w:val="444444"/>
          <w:shd w:val="clear" w:color="auto" w:fill="FFFFFF"/>
        </w:rPr>
        <w:t xml:space="preserve"> :</w:t>
      </w:r>
      <w:proofErr w:type="gramEnd"/>
      <w:r>
        <w:rPr>
          <w:rStyle w:val="Strong"/>
          <w:rFonts w:ascii="Arial" w:hAnsi="Arial" w:cs="Arial"/>
          <w:color w:val="444444"/>
          <w:shd w:val="clear" w:color="auto" w:fill="FFFFFF"/>
        </w:rPr>
        <w:t xml:space="preserve"> </w:t>
      </w:r>
      <w:r w:rsidR="00075BCB">
        <w:rPr>
          <w:rStyle w:val="Strong"/>
          <w:rFonts w:ascii="Arial" w:hAnsi="Arial" w:cs="Arial"/>
          <w:color w:val="444444"/>
          <w:shd w:val="clear" w:color="auto" w:fill="FFFFFF"/>
        </w:rPr>
        <w:t xml:space="preserve">¿De qué forma pueden articularse los conceptos de aculturación y cohesión social a través de la televisión según </w:t>
      </w:r>
      <w:proofErr w:type="spellStart"/>
      <w:r w:rsidR="00075BCB">
        <w:rPr>
          <w:rStyle w:val="Strong"/>
          <w:rFonts w:ascii="Arial" w:hAnsi="Arial" w:cs="Arial"/>
          <w:color w:val="444444"/>
          <w:shd w:val="clear" w:color="auto" w:fill="FFFFFF"/>
        </w:rPr>
        <w:t>Gerbner</w:t>
      </w:r>
      <w:proofErr w:type="spellEnd"/>
      <w:r w:rsidR="00075BCB">
        <w:rPr>
          <w:rStyle w:val="Strong"/>
          <w:rFonts w:ascii="Arial" w:hAnsi="Arial" w:cs="Arial"/>
          <w:color w:val="444444"/>
          <w:shd w:val="clear" w:color="auto" w:fill="FFFFFF"/>
        </w:rPr>
        <w:t>?</w:t>
      </w:r>
    </w:p>
    <w:p w:rsidR="00B01874" w:rsidRDefault="00B01874">
      <w:pPr>
        <w:rPr>
          <w:rStyle w:val="Strong"/>
          <w:rFonts w:ascii="Arial" w:hAnsi="Arial" w:cs="Arial"/>
          <w:color w:val="444444"/>
          <w:shd w:val="clear" w:color="auto" w:fill="FFFFFF"/>
        </w:rPr>
      </w:pPr>
    </w:p>
    <w:p w:rsidR="00B01874" w:rsidRDefault="00B01874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proofErr w:type="spellStart"/>
      <w:r w:rsidRPr="00B01874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Gerbner</w:t>
      </w:r>
      <w:proofErr w:type="spellEnd"/>
      <w:r w:rsidRPr="00B01874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insiste en dejar claro que el termino aculturación no se aplica a los efectos que produce la televisión en las concepciones de la realidad. Si no que lo define como</w:t>
      </w:r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una</w:t>
      </w:r>
      <w:r w:rsidRPr="00B01874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Pr="00D47301">
        <w:rPr>
          <w:rStyle w:val="Strong"/>
          <w:rFonts w:ascii="Arial" w:hAnsi="Arial" w:cs="Arial"/>
          <w:b w:val="0"/>
          <w:i/>
          <w:color w:val="444444"/>
          <w:sz w:val="24"/>
          <w:szCs w:val="24"/>
          <w:shd w:val="clear" w:color="auto" w:fill="FFFFFF"/>
        </w:rPr>
        <w:t>“interacción entre el medio y sus públicos”</w:t>
      </w:r>
      <w:r w:rsidRPr="00B01874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.</w:t>
      </w:r>
      <w:r w:rsidR="0096659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Explica que estos elementos de la aculturación no nacen directamente con la televisió</w:t>
      </w:r>
      <w:r w:rsidR="0096659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n ni surgen por sí solos. Otros factores son determinantes como las clases sociales, las personas y el contexto cultural. </w:t>
      </w:r>
    </w:p>
    <w:p w:rsidR="001F25B8" w:rsidRDefault="00E1468A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L</w:t>
      </w:r>
      <w:r w:rsidR="00444E76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a aculturación es </w:t>
      </w:r>
      <w:r w:rsidR="00444E76" w:rsidRPr="00D47301">
        <w:rPr>
          <w:rStyle w:val="Strong"/>
          <w:rFonts w:ascii="Arial" w:hAnsi="Arial" w:cs="Arial"/>
          <w:b w:val="0"/>
          <w:i/>
          <w:color w:val="444444"/>
          <w:sz w:val="24"/>
          <w:szCs w:val="24"/>
          <w:shd w:val="clear" w:color="auto" w:fill="FFFFFF"/>
        </w:rPr>
        <w:t>“parte de un proceso continuo y dinámico de interacción entre mensajes y contextos…”</w:t>
      </w:r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al igual que la interacción social es un proceso permanente que se desarrolla a lo largo de nuestra vida cotidiana. </w:t>
      </w:r>
      <w:r w:rsidR="00323D3D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AB1775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Explica que la interacción que se da a nivel personal es diferente, cita el ejemplo de los adolescentes y de los niños</w:t>
      </w:r>
      <w:r w:rsidR="001F25B8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que observan televisión, los</w:t>
      </w:r>
      <w:r w:rsidR="00AB1775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que se encuentran en ámbitos más</w:t>
      </w:r>
      <w:r w:rsidR="001F25B8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integrados como la </w:t>
      </w:r>
      <w:r w:rsidR="00AB1775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familia.</w:t>
      </w:r>
      <w:r w:rsidR="00D4730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El acompañamiento en esa actividad puede llegar modificar el comportamiento o </w:t>
      </w:r>
      <w:r w:rsidR="00D47301" w:rsidRPr="00D47301">
        <w:rPr>
          <w:rStyle w:val="Strong"/>
          <w:rFonts w:ascii="Arial" w:hAnsi="Arial" w:cs="Arial"/>
          <w:b w:val="0"/>
          <w:i/>
          <w:color w:val="444444"/>
          <w:sz w:val="24"/>
          <w:szCs w:val="24"/>
          <w:shd w:val="clear" w:color="auto" w:fill="FFFFFF"/>
        </w:rPr>
        <w:t xml:space="preserve">´´visionado televisivo´´. </w:t>
      </w:r>
      <w:r w:rsidR="00AB1775" w:rsidRPr="00D47301">
        <w:rPr>
          <w:rStyle w:val="Strong"/>
          <w:rFonts w:ascii="Arial" w:hAnsi="Arial" w:cs="Arial"/>
          <w:b w:val="0"/>
          <w:i/>
          <w:color w:val="444444"/>
          <w:sz w:val="24"/>
          <w:szCs w:val="24"/>
          <w:shd w:val="clear" w:color="auto" w:fill="FFFFFF"/>
        </w:rPr>
        <w:t xml:space="preserve"> </w:t>
      </w:r>
      <w:r w:rsidR="00AB1775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En este caso la aculturación puede aumentar, disminuir o generar resistencia. </w:t>
      </w:r>
    </w:p>
    <w:p w:rsidR="00323D3D" w:rsidRDefault="00AB1775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Entonces la aculturación </w:t>
      </w:r>
      <w:r w:rsidR="00323D3D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de la televisión </w:t>
      </w:r>
      <w:r w:rsidR="001F25B8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depende del grado de</w:t>
      </w:r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integra</w:t>
      </w:r>
      <w:r w:rsidR="001F25B8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ción social al que están expuestos</w:t>
      </w:r>
      <w:r w:rsidR="00323D3D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los espectadores, en aquellos grupos que la integración social se predominante existe la posibilidad de ir transformando</w:t>
      </w:r>
      <w:r w:rsidR="001F25B8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o generando</w:t>
      </w:r>
      <w:r w:rsidR="00323D3D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mayor</w:t>
      </w:r>
      <w:r w:rsidR="00D4730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resistencia a la aculturación. </w:t>
      </w:r>
    </w:p>
    <w:p w:rsid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</w:p>
    <w:p w:rsid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</w:t>
      </w:r>
      <w:proofErr w:type="spellStart"/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>Lic</w:t>
      </w:r>
      <w:proofErr w:type="spellEnd"/>
      <w: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D4730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>Camila</w:t>
      </w:r>
      <w:proofErr w:type="spellEnd"/>
      <w:r w:rsidRPr="00D4730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4730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>Figueira</w:t>
      </w:r>
      <w:proofErr w:type="spellEnd"/>
    </w:p>
    <w:p w:rsid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</w:pPr>
    </w:p>
    <w:p w:rsid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</w:pPr>
    </w:p>
    <w:p w:rsidR="00D47301" w:rsidRP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D4730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>Bibliografía</w:t>
      </w:r>
      <w:proofErr w:type="spellEnd"/>
      <w:r w:rsidRPr="00D47301"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>:</w:t>
      </w:r>
    </w:p>
    <w:p w:rsidR="00D47301" w:rsidRPr="00D47301" w:rsidRDefault="00D47301" w:rsidP="00D4730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es-UY"/>
        </w:rPr>
      </w:pPr>
      <w:proofErr w:type="spellStart"/>
      <w:proofErr w:type="gramStart"/>
      <w:r w:rsidRPr="00D4730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en-US"/>
        </w:rPr>
        <w:t>Gerbner</w:t>
      </w:r>
      <w:proofErr w:type="spellEnd"/>
      <w:r w:rsidRPr="00D4730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en-US"/>
        </w:rPr>
        <w:t xml:space="preserve">, G., Gross, L., Morgan M. &amp; </w:t>
      </w:r>
      <w:proofErr w:type="spellStart"/>
      <w:r w:rsidRPr="00D4730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en-US"/>
        </w:rPr>
        <w:t>Signorielli</w:t>
      </w:r>
      <w:proofErr w:type="spellEnd"/>
      <w:r w:rsidRPr="00D4730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en-US"/>
        </w:rPr>
        <w:t>, N. (s/f).</w:t>
      </w:r>
      <w:proofErr w:type="gramEnd"/>
      <w:r w:rsidRPr="00D4730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D4730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es-UY"/>
        </w:rPr>
        <w:t>Crecer con la televisión: perspectiva de la aculturación (s/d).</w:t>
      </w:r>
    </w:p>
    <w:p w:rsidR="00D47301" w:rsidRP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s-UY"/>
        </w:rPr>
      </w:pPr>
    </w:p>
    <w:p w:rsid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</w:p>
    <w:p w:rsidR="00D47301" w:rsidRDefault="00D47301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</w:p>
    <w:p w:rsidR="001830CE" w:rsidRDefault="001830CE">
      <w:pPr>
        <w:rPr>
          <w:rStyle w:val="Strong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</w:p>
    <w:p w:rsidR="00966591" w:rsidRPr="00B01874" w:rsidRDefault="00966591">
      <w:pPr>
        <w:rPr>
          <w:b/>
          <w:sz w:val="24"/>
          <w:szCs w:val="24"/>
        </w:rPr>
      </w:pPr>
    </w:p>
    <w:sectPr w:rsidR="00966591" w:rsidRPr="00B01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CB"/>
    <w:rsid w:val="00075BCB"/>
    <w:rsid w:val="001830CE"/>
    <w:rsid w:val="001F25B8"/>
    <w:rsid w:val="002116C1"/>
    <w:rsid w:val="00323D3D"/>
    <w:rsid w:val="00444E76"/>
    <w:rsid w:val="00545A05"/>
    <w:rsid w:val="00766381"/>
    <w:rsid w:val="00852FA4"/>
    <w:rsid w:val="00966591"/>
    <w:rsid w:val="00A838C2"/>
    <w:rsid w:val="00AB1775"/>
    <w:rsid w:val="00B01874"/>
    <w:rsid w:val="00CB713B"/>
    <w:rsid w:val="00D47301"/>
    <w:rsid w:val="00E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Figueira</dc:creator>
  <cp:keywords/>
  <dc:description/>
  <cp:lastModifiedBy>Camila Figueira</cp:lastModifiedBy>
  <cp:revision>1</cp:revision>
  <dcterms:created xsi:type="dcterms:W3CDTF">2017-10-31T17:39:00Z</dcterms:created>
  <dcterms:modified xsi:type="dcterms:W3CDTF">2017-10-31T20:39:00Z</dcterms:modified>
</cp:coreProperties>
</file>