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832" w:rsidRDefault="00AC7832" w:rsidP="00AC7832">
      <w:pPr>
        <w:rPr>
          <w:lang w:val="es-ES"/>
        </w:rPr>
      </w:pPr>
      <w:r>
        <w:rPr>
          <w:lang w:val="es-ES"/>
        </w:rPr>
        <w:t>Nota de página 12</w:t>
      </w:r>
      <w:r w:rsidR="00003737">
        <w:rPr>
          <w:lang w:val="es-ES"/>
        </w:rPr>
        <w:t xml:space="preserve"> </w:t>
      </w:r>
    </w:p>
    <w:p w:rsidR="00AC7832" w:rsidRDefault="00AC7832" w:rsidP="00AC7832">
      <w:pPr>
        <w:rPr>
          <w:lang w:val="es-ES"/>
        </w:rPr>
      </w:pPr>
    </w:p>
    <w:p w:rsidR="00AC7832" w:rsidRPr="00AC7832" w:rsidRDefault="00AC7832" w:rsidP="00AC7832">
      <w:pPr>
        <w:spacing w:line="540" w:lineRule="atLeast"/>
        <w:outlineLvl w:val="1"/>
        <w:rPr>
          <w:rFonts w:ascii="Arial" w:eastAsia="Times New Roman" w:hAnsi="Arial" w:cs="Arial"/>
          <w:color w:val="028CCD"/>
          <w:sz w:val="48"/>
          <w:szCs w:val="48"/>
          <w:lang w:val="es-UY"/>
        </w:rPr>
      </w:pPr>
      <w:r w:rsidRPr="00AC7832">
        <w:rPr>
          <w:rFonts w:ascii="Arial" w:eastAsia="Times New Roman" w:hAnsi="Arial" w:cs="Arial"/>
          <w:color w:val="028CCD"/>
          <w:sz w:val="48"/>
          <w:szCs w:val="48"/>
          <w:lang w:val="es-UY"/>
        </w:rPr>
        <w:t>Judith Butler para principiantes</w:t>
      </w:r>
    </w:p>
    <w:p w:rsidR="00AC7832" w:rsidRPr="00AC7832" w:rsidRDefault="00AC7832" w:rsidP="00AC7832">
      <w:pPr>
        <w:spacing w:before="150" w:after="300" w:line="270" w:lineRule="atLeast"/>
        <w:rPr>
          <w:rFonts w:ascii="Arial" w:hAnsi="Arial" w:cs="Arial"/>
          <w:color w:val="000000"/>
          <w:sz w:val="21"/>
          <w:szCs w:val="21"/>
          <w:lang w:val="es-UY"/>
        </w:rPr>
      </w:pPr>
      <w:r w:rsidRPr="00AC7832">
        <w:rPr>
          <w:rFonts w:ascii="Arial" w:hAnsi="Arial" w:cs="Arial"/>
          <w:color w:val="000000"/>
          <w:sz w:val="21"/>
          <w:szCs w:val="21"/>
          <w:lang w:val="es-UY"/>
        </w:rPr>
        <w:t xml:space="preserve">Judith Butler es la autora de uno de los libros más influyentes del pensamiento contemporáneo, El género en disputa. Feminismo y la subversión de la identidad, donde ya en los años noventa ponía en jaque la idea de que el sexo es algo natural mientras el </w:t>
      </w:r>
      <w:bookmarkStart w:id="0" w:name="_GoBack"/>
      <w:bookmarkEnd w:id="0"/>
      <w:r w:rsidRPr="00AC7832">
        <w:rPr>
          <w:rFonts w:ascii="Arial" w:hAnsi="Arial" w:cs="Arial"/>
          <w:color w:val="000000"/>
          <w:sz w:val="21"/>
          <w:szCs w:val="21"/>
          <w:lang w:val="es-UY"/>
        </w:rPr>
        <w:t>género se construye socialmente. Sus trabajos filosóficos, complejos y muy difíciles de divulgar sin desvirtuar, han contribuido a construir lo que hoy se conoce como Teoría Queer y tuvieron un papel fundacional en el desarrollo del movimiento queer. Esta breve guía se detiene en puntos clave de su pensamiento.</w:t>
      </w:r>
    </w:p>
    <w:p w:rsidR="00AC7832" w:rsidRPr="00AC7832" w:rsidRDefault="00AC7832" w:rsidP="00AC7832">
      <w:pPr>
        <w:rPr>
          <w:rFonts w:ascii="Arial" w:eastAsia="Times New Roman" w:hAnsi="Arial" w:cs="Arial"/>
          <w:color w:val="000000"/>
          <w:sz w:val="20"/>
          <w:szCs w:val="20"/>
          <w:lang w:val="es-UY"/>
        </w:rPr>
      </w:pPr>
    </w:p>
    <w:p w:rsidR="00AC7832" w:rsidRPr="00003737" w:rsidRDefault="00AC7832" w:rsidP="00AC7832">
      <w:pPr>
        <w:rPr>
          <w:rFonts w:ascii="Arial" w:eastAsia="Times New Roman" w:hAnsi="Arial" w:cs="Arial"/>
          <w:color w:val="000000"/>
          <w:sz w:val="20"/>
          <w:szCs w:val="20"/>
          <w:lang w:val="es-UY"/>
        </w:rPr>
      </w:pPr>
      <w:r>
        <w:rPr>
          <w:rFonts w:ascii="Arial" w:eastAsia="Times New Roman" w:hAnsi="Arial" w:cs="Arial"/>
          <w:noProof/>
          <w:color w:val="000000"/>
          <w:sz w:val="20"/>
          <w:szCs w:val="20"/>
          <w:lang w:val="es-ES"/>
        </w:rPr>
        <mc:AlternateContent>
          <mc:Choice Requires="wps">
            <w:drawing>
              <wp:inline distT="0" distB="0" distL="0" distR="0" wp14:anchorId="157E7A89" wp14:editId="302F9BA2">
                <wp:extent cx="302895" cy="302895"/>
                <wp:effectExtent l="0" t="0" r="0" b="0"/>
                <wp:docPr id="2" name="AutoShape 4" descr="https://www.pagina12.com.ar/commons/imgs/ico-imprimir.gif">
                  <a:hlinkClick xmlns:a="http://schemas.openxmlformats.org/drawingml/2006/main" r:id="rId5" tooltip="&quot;Versión para imprimi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ción: https://www.pagina12.com.ar/commons/imgs/ico-imprimir.gif" href="https://www.pagina12.com.ar/imprimir/diario/suplementos/soy/1-742-2009-05-08.html" title="&quot;Versión para imprimir&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" o:button="t" filled="f" stroked="f">
                <v:fill o:detectmouseclick="t"/>
                <o:lock v:ext="edit" aspectratio="t"/>
                <w10:anchorlock/>
              </v:rect>
            </w:pict>
          </mc:Fallback>
        </mc:AlternateContent>
      </w:r>
      <w:bookmarkStart w:id="1" w:name="formu_mail"/>
      <w:bookmarkEnd w:id="1"/>
      <w:r>
        <w:rPr>
          <w:rFonts w:ascii="Arial" w:hAnsi="Arial" w:cs="Arial"/>
          <w:noProof/>
          <w:sz w:val="20"/>
          <w:szCs w:val="20"/>
          <w:lang w:val="es-ES"/>
        </w:rPr>
        <mc:AlternateContent>
          <mc:Choice Requires="wps">
            <w:drawing>
              <wp:inline distT="0" distB="0" distL="0" distR="0" wp14:anchorId="5A22A003" wp14:editId="7D61723F">
                <wp:extent cx="302895" cy="302895"/>
                <wp:effectExtent l="0" t="0" r="0" b="0"/>
                <wp:docPr id="1" name="AutoShape 5" descr="https://www.pagina12.com.ar/commons/imgs/go-gri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ción: https://www.pagina12.com.ar/commons/imgs/go-gris.gif"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" filled="f" stroked="f">
                <o:lock v:ext="edit" aspectratio="t"/>
                <w10:anchorlock/>
              </v:rect>
            </w:pict>
          </mc:Fallback>
        </mc:AlternateContent>
      </w:r>
      <w:r w:rsidRPr="00AC7832">
        <w:rPr>
          <w:rFonts w:ascii="Arial" w:hAnsi="Arial" w:cs="Arial"/>
          <w:sz w:val="20"/>
          <w:szCs w:val="20"/>
          <w:lang w:val="es-UY"/>
        </w:rPr>
        <w:t> Por Leticia Sabsay</w:t>
      </w:r>
    </w:p>
    <w:p w:rsidR="00AC7832" w:rsidRPr="00AC7832" w:rsidRDefault="00AC7832" w:rsidP="00AC7832">
      <w:pPr>
        <w:spacing w:after="150" w:line="375" w:lineRule="atLeast"/>
        <w:outlineLvl w:val="0"/>
        <w:rPr>
          <w:rFonts w:ascii="Arial" w:eastAsia="Times New Roman" w:hAnsi="Arial" w:cs="Arial"/>
          <w:color w:val="000000"/>
          <w:kern w:val="36"/>
          <w:sz w:val="36"/>
          <w:szCs w:val="36"/>
          <w:lang w:val="es-UY"/>
        </w:rPr>
      </w:pPr>
      <w:r w:rsidRPr="00AC7832">
        <w:rPr>
          <w:rFonts w:ascii="Arial" w:eastAsia="Times New Roman" w:hAnsi="Arial" w:cs="Arial"/>
          <w:color w:val="000000"/>
          <w:kern w:val="36"/>
          <w:sz w:val="36"/>
          <w:szCs w:val="36"/>
          <w:lang w:val="es-UY"/>
        </w:rPr>
        <w:t>1</w:t>
      </w:r>
    </w:p>
    <w:p w:rsidR="00AC7832" w:rsidRPr="00AC7832" w:rsidRDefault="00AC7832" w:rsidP="00AC7832">
      <w:pPr>
        <w:spacing w:before="150" w:after="150" w:line="300" w:lineRule="atLeast"/>
        <w:outlineLvl w:val="2"/>
        <w:rPr>
          <w:rFonts w:ascii="Arial" w:eastAsia="Times New Roman" w:hAnsi="Arial" w:cs="Arial"/>
          <w:color w:val="000000"/>
          <w:sz w:val="29"/>
          <w:szCs w:val="29"/>
          <w:lang w:val="es-UY"/>
        </w:rPr>
      </w:pPr>
      <w:r w:rsidRPr="00AC7832">
        <w:rPr>
          <w:rFonts w:ascii="Arial" w:eastAsia="Times New Roman" w:hAnsi="Arial" w:cs="Arial"/>
          <w:color w:val="000000"/>
          <w:sz w:val="29"/>
          <w:szCs w:val="29"/>
          <w:lang w:val="es-UY"/>
        </w:rPr>
        <w:t>Butler y su giro copernicano</w:t>
      </w:r>
    </w:p>
    <w:p w:rsidR="00AC7832" w:rsidRPr="00AC7832" w:rsidRDefault="00AC7832" w:rsidP="00AC7832">
      <w:pPr>
        <w:spacing w:before="225" w:after="225" w:line="360" w:lineRule="atLeast"/>
        <w:rPr>
          <w:rFonts w:ascii="Arial" w:hAnsi="Arial" w:cs="Arial"/>
          <w:color w:val="000000"/>
          <w:sz w:val="20"/>
          <w:szCs w:val="20"/>
          <w:lang w:val="es-UY"/>
        </w:rPr>
      </w:pPr>
      <w:r w:rsidRPr="00AC7832">
        <w:rPr>
          <w:rFonts w:ascii="Arial" w:hAnsi="Arial" w:cs="Arial"/>
          <w:color w:val="000000"/>
          <w:sz w:val="20"/>
          <w:szCs w:val="20"/>
          <w:lang w:val="es-UY"/>
        </w:rPr>
        <w:t>Ese giro se produce en torno del género y marcó la evolución de las concepciones que se venían teniendo al respecto dentro del feminismo. Cuando en 1990 publica El género en disputa, las ideas se dividían a grandes rasgos entre las que entendían al género como la interpretación cultural del sexo y aquellas que insistían en la inevitabilidad de la diferencia sexual. Ambas presuponían que el “sexo”, entendido como un elemento tributario de una anatomía que no era cuestionada, era algo “natural”, que no dependía de las configuraciones sociohistóricas.</w:t>
      </w:r>
    </w:p>
    <w:p w:rsidR="00AC7832" w:rsidRPr="00AC7832" w:rsidRDefault="00AC7832" w:rsidP="00AC7832">
      <w:pPr>
        <w:spacing w:before="225" w:after="225" w:line="360" w:lineRule="atLeast"/>
        <w:rPr>
          <w:rFonts w:ascii="Arial" w:hAnsi="Arial" w:cs="Arial"/>
          <w:color w:val="000000"/>
          <w:sz w:val="20"/>
          <w:szCs w:val="20"/>
          <w:lang w:val="es-UY"/>
        </w:rPr>
      </w:pPr>
      <w:r w:rsidRPr="00AC7832">
        <w:rPr>
          <w:rFonts w:ascii="Arial" w:hAnsi="Arial" w:cs="Arial"/>
          <w:color w:val="000000"/>
          <w:sz w:val="20"/>
          <w:szCs w:val="20"/>
          <w:lang w:val="es-UY"/>
        </w:rPr>
        <w:t>Butler plantea que el “sexo” entendido como la base material o natural del género, como un concepto sociológico o cultural, es el efecto de una concepción que se da dentro de un sistema social ya marcado por la normativa del género. En otras palabras, que la idea del “sexo” como algo natural se ha configurado dentro de la lógica del binarismo del género.</w:t>
      </w:r>
    </w:p>
    <w:p w:rsidR="00AC7832" w:rsidRPr="00AC7832" w:rsidRDefault="00AC7832" w:rsidP="00AC7832">
      <w:pPr>
        <w:spacing w:before="300" w:after="150" w:line="375" w:lineRule="atLeast"/>
        <w:outlineLvl w:val="0"/>
        <w:rPr>
          <w:rFonts w:ascii="Arial" w:eastAsia="Times New Roman" w:hAnsi="Arial" w:cs="Arial"/>
          <w:color w:val="000000"/>
          <w:kern w:val="36"/>
          <w:sz w:val="36"/>
          <w:szCs w:val="36"/>
          <w:lang w:val="es-UY"/>
        </w:rPr>
      </w:pPr>
      <w:r w:rsidRPr="00AC7832">
        <w:rPr>
          <w:rFonts w:ascii="Arial" w:eastAsia="Times New Roman" w:hAnsi="Arial" w:cs="Arial"/>
          <w:color w:val="000000"/>
          <w:kern w:val="36"/>
          <w:sz w:val="36"/>
          <w:szCs w:val="36"/>
          <w:lang w:val="es-UY"/>
        </w:rPr>
        <w:t>2</w:t>
      </w:r>
    </w:p>
    <w:p w:rsidR="00AC7832" w:rsidRPr="00AC7832" w:rsidRDefault="00AC7832" w:rsidP="00AC7832">
      <w:pPr>
        <w:spacing w:before="150" w:after="150" w:line="300" w:lineRule="atLeast"/>
        <w:outlineLvl w:val="2"/>
        <w:rPr>
          <w:rFonts w:ascii="Arial" w:eastAsia="Times New Roman" w:hAnsi="Arial" w:cs="Arial"/>
          <w:color w:val="000000"/>
          <w:sz w:val="29"/>
          <w:szCs w:val="29"/>
          <w:lang w:val="es-UY"/>
        </w:rPr>
      </w:pPr>
      <w:r w:rsidRPr="00AC7832">
        <w:rPr>
          <w:rFonts w:ascii="Arial" w:eastAsia="Times New Roman" w:hAnsi="Arial" w:cs="Arial"/>
          <w:color w:val="000000"/>
          <w:sz w:val="29"/>
          <w:szCs w:val="29"/>
          <w:lang w:val="es-UY"/>
        </w:rPr>
        <w:t>Judith en el principio de los movimientos queer</w:t>
      </w:r>
    </w:p>
    <w:p w:rsidR="00AC7832" w:rsidRPr="00AC7832" w:rsidRDefault="00AC7832" w:rsidP="00AC7832">
      <w:pPr>
        <w:spacing w:before="225" w:after="225" w:line="360" w:lineRule="atLeast"/>
        <w:rPr>
          <w:rFonts w:ascii="Arial" w:hAnsi="Arial" w:cs="Arial"/>
          <w:color w:val="000000"/>
          <w:sz w:val="20"/>
          <w:szCs w:val="20"/>
          <w:lang w:val="es-UY"/>
        </w:rPr>
      </w:pPr>
      <w:r w:rsidRPr="00AC7832">
        <w:rPr>
          <w:rFonts w:ascii="Arial" w:hAnsi="Arial" w:cs="Arial"/>
          <w:color w:val="000000"/>
          <w:sz w:val="20"/>
          <w:szCs w:val="20"/>
          <w:lang w:val="es-UY"/>
        </w:rPr>
        <w:t xml:space="preserve">Este planteamiento, a partir del cual el sexo y el género son radicalmente desencializados, desestabilizó la categoría de “mujer” o “mujeres”, y obligó a la perspectiva feminista a reconcebir sus supuestos, y entender que “las mujeres”, más que un sujeto colectivo dado por hecho, era un significante político. Al mismo tiempo, esta aguda desencialización del género, la idea de que las normas de género funcionan como un dispositivo productor de subjetividad, sirvió de fundamento teórico y dio argumentos y herramientas a una serie de colectivos, catalogados como minorías sexuales, que también, junto a las mujeres, eran (y continúan siendo) excluidos, segregados, discriminados por esta normativa binaria del género. En este </w:t>
      </w:r>
      <w:r w:rsidRPr="00AC7832">
        <w:rPr>
          <w:rFonts w:ascii="Arial" w:hAnsi="Arial" w:cs="Arial"/>
          <w:color w:val="000000"/>
          <w:sz w:val="20"/>
          <w:szCs w:val="20"/>
          <w:lang w:val="es-UY"/>
        </w:rPr>
        <w:lastRenderedPageBreak/>
        <w:t>sentido, el giro copernicano de Butler ayudó mucho al impulso y la expansión de los movimientos queer, y también trans e intersex.</w:t>
      </w:r>
    </w:p>
    <w:p w:rsidR="00AC7832" w:rsidRPr="00AC7832" w:rsidRDefault="00AC7832" w:rsidP="00AC7832">
      <w:pPr>
        <w:spacing w:before="300" w:after="150" w:line="375" w:lineRule="atLeast"/>
        <w:outlineLvl w:val="0"/>
        <w:rPr>
          <w:rFonts w:ascii="Arial" w:eastAsia="Times New Roman" w:hAnsi="Arial" w:cs="Arial"/>
          <w:color w:val="000000"/>
          <w:kern w:val="36"/>
          <w:sz w:val="36"/>
          <w:szCs w:val="36"/>
          <w:lang w:val="es-UY"/>
        </w:rPr>
      </w:pPr>
      <w:r w:rsidRPr="00AC7832">
        <w:rPr>
          <w:rFonts w:ascii="Arial" w:eastAsia="Times New Roman" w:hAnsi="Arial" w:cs="Arial"/>
          <w:color w:val="000000"/>
          <w:kern w:val="36"/>
          <w:sz w:val="36"/>
          <w:szCs w:val="36"/>
          <w:lang w:val="es-UY"/>
        </w:rPr>
        <w:t>3</w:t>
      </w:r>
    </w:p>
    <w:p w:rsidR="00AC7832" w:rsidRPr="00AC7832" w:rsidRDefault="00AC7832" w:rsidP="00AC7832">
      <w:pPr>
        <w:spacing w:before="150" w:after="150" w:line="300" w:lineRule="atLeast"/>
        <w:outlineLvl w:val="2"/>
        <w:rPr>
          <w:rFonts w:ascii="Arial" w:eastAsia="Times New Roman" w:hAnsi="Arial" w:cs="Arial"/>
          <w:color w:val="000000"/>
          <w:sz w:val="29"/>
          <w:szCs w:val="29"/>
          <w:lang w:val="es-UY"/>
        </w:rPr>
      </w:pPr>
      <w:r w:rsidRPr="00AC7832">
        <w:rPr>
          <w:rFonts w:ascii="Arial" w:eastAsia="Times New Roman" w:hAnsi="Arial" w:cs="Arial"/>
          <w:color w:val="000000"/>
          <w:sz w:val="29"/>
          <w:szCs w:val="29"/>
          <w:lang w:val="es-UY"/>
        </w:rPr>
        <w:t>Y el sexo..., ¿dónde está?</w:t>
      </w:r>
    </w:p>
    <w:p w:rsidR="00AC7832" w:rsidRPr="00AC7832" w:rsidRDefault="00AC7832" w:rsidP="00AC7832">
      <w:pPr>
        <w:spacing w:before="225" w:after="225" w:line="360" w:lineRule="atLeast"/>
        <w:rPr>
          <w:rFonts w:ascii="Arial" w:hAnsi="Arial" w:cs="Arial"/>
          <w:color w:val="000000"/>
          <w:sz w:val="20"/>
          <w:szCs w:val="20"/>
          <w:lang w:val="es-UY"/>
        </w:rPr>
      </w:pPr>
      <w:r w:rsidRPr="00AC7832">
        <w:rPr>
          <w:rFonts w:ascii="Arial" w:hAnsi="Arial" w:cs="Arial"/>
          <w:color w:val="000000"/>
          <w:sz w:val="20"/>
          <w:szCs w:val="20"/>
          <w:lang w:val="es-UY"/>
        </w:rPr>
        <w:t>La impronta de Michel Foucault, y en particular su trabajo en la Historia de la sexualidad, es evidente. Ahora bien, si en el caso de Foucault el dispositivo de la sexualidad no tiene en cuenta el género, para Butler es esencial. A partir de Butler el género ya no va a ser la expresión de un ser interior o la interpretación de un sexo que estaba ahí, antes del género. Como dice la autora, la estabilidad del género, que es la que vuelve inteligibles a los sujetos en el marco de la heteronormatividad, depende de una alineación entre sexo, género y sexualidad, una alineación ideal que en realidad es cuestionada de forma constante y falla permanentemente.</w:t>
      </w:r>
    </w:p>
    <w:p w:rsidR="00AC7832" w:rsidRPr="00AC7832" w:rsidRDefault="00AC7832" w:rsidP="00AC7832">
      <w:pPr>
        <w:spacing w:before="225" w:after="225" w:line="360" w:lineRule="atLeast"/>
        <w:rPr>
          <w:rFonts w:ascii="Arial" w:hAnsi="Arial" w:cs="Arial"/>
          <w:color w:val="000000"/>
          <w:sz w:val="20"/>
          <w:szCs w:val="20"/>
          <w:lang w:val="es-UY"/>
        </w:rPr>
      </w:pPr>
      <w:r w:rsidRPr="00AC7832">
        <w:rPr>
          <w:rFonts w:ascii="Arial" w:hAnsi="Arial" w:cs="Arial"/>
          <w:color w:val="000000"/>
          <w:sz w:val="20"/>
          <w:szCs w:val="20"/>
          <w:lang w:val="es-UY"/>
        </w:rPr>
        <w:t>Es importante insistir en que Butler no quiere decir que el sexo no exista, sino que la idea de un “sexo natural” organizado en base a dos posiciones opuestas y complementarias es un dispositivo mediante el cual el género se ha estabilizado dentro de la matriz heterosexual que caracteriza a nuestras sociedades. Puesto en otros términos, no se trata de que el cuerpo no sea material, no se trata de negar la materia del cuerpo en pos de un constructivismo radical, simplemente se trata de insistir en que no hay acceso directo a esta materialidad del cuerpo si no es a través de un imaginario social: no se puede acceder a la “verdad” o a la “materia” del cuerpo sino a través de los discursos, las prácticas y normas.</w:t>
      </w:r>
    </w:p>
    <w:p w:rsidR="00AC7832" w:rsidRPr="00AC7832" w:rsidRDefault="00AC7832" w:rsidP="00AC7832">
      <w:pPr>
        <w:spacing w:before="300" w:after="150" w:line="375" w:lineRule="atLeast"/>
        <w:outlineLvl w:val="0"/>
        <w:rPr>
          <w:rFonts w:ascii="Arial" w:eastAsia="Times New Roman" w:hAnsi="Arial" w:cs="Arial"/>
          <w:color w:val="000000"/>
          <w:kern w:val="36"/>
          <w:sz w:val="36"/>
          <w:szCs w:val="36"/>
          <w:lang w:val="es-UY"/>
        </w:rPr>
      </w:pPr>
      <w:r w:rsidRPr="00AC7832">
        <w:rPr>
          <w:rFonts w:ascii="Arial" w:eastAsia="Times New Roman" w:hAnsi="Arial" w:cs="Arial"/>
          <w:color w:val="000000"/>
          <w:kern w:val="36"/>
          <w:sz w:val="36"/>
          <w:szCs w:val="36"/>
          <w:lang w:val="es-UY"/>
        </w:rPr>
        <w:t>4</w:t>
      </w:r>
    </w:p>
    <w:p w:rsidR="00AC7832" w:rsidRPr="00AC7832" w:rsidRDefault="00AC7832" w:rsidP="00AC7832">
      <w:pPr>
        <w:spacing w:before="150" w:after="150" w:line="300" w:lineRule="atLeast"/>
        <w:outlineLvl w:val="2"/>
        <w:rPr>
          <w:rFonts w:ascii="Arial" w:eastAsia="Times New Roman" w:hAnsi="Arial" w:cs="Arial"/>
          <w:color w:val="000000"/>
          <w:sz w:val="29"/>
          <w:szCs w:val="29"/>
          <w:lang w:val="es-UY"/>
        </w:rPr>
      </w:pPr>
      <w:r w:rsidRPr="00AC7832">
        <w:rPr>
          <w:rFonts w:ascii="Arial" w:eastAsia="Times New Roman" w:hAnsi="Arial" w:cs="Arial"/>
          <w:color w:val="000000"/>
          <w:sz w:val="29"/>
          <w:szCs w:val="29"/>
          <w:lang w:val="es-UY"/>
        </w:rPr>
        <w:t>El género como performance</w:t>
      </w:r>
    </w:p>
    <w:p w:rsidR="00AC7832" w:rsidRPr="00AC7832" w:rsidRDefault="00AC7832" w:rsidP="00AC7832">
      <w:pPr>
        <w:spacing w:before="225" w:after="225" w:line="360" w:lineRule="atLeast"/>
        <w:rPr>
          <w:rFonts w:ascii="Arial" w:hAnsi="Arial" w:cs="Arial"/>
          <w:color w:val="000000"/>
          <w:sz w:val="20"/>
          <w:szCs w:val="20"/>
          <w:lang w:val="es-UY"/>
        </w:rPr>
      </w:pPr>
      <w:r w:rsidRPr="00AC7832">
        <w:rPr>
          <w:rFonts w:ascii="Arial" w:hAnsi="Arial" w:cs="Arial"/>
          <w:color w:val="000000"/>
          <w:sz w:val="20"/>
          <w:szCs w:val="20"/>
          <w:lang w:val="es-UY"/>
        </w:rPr>
        <w:t xml:space="preserve">Antes que una performance, el género sería performativo. Esta diferencia entre pensar al género como una performance y pensar en la dimensión preformativa del género no es trivial. Decir que el género es una performance no es del todo incorrecto, si por ello entendemos que el género es, en efecto, una actuación, un hacer, y no un atributo con el que contarían los sujetos aun antes de su “estar actuando”. Sin embargo, en la medida en que este performar o actuar el género no consiste en una actuación aislada, “un acto” que podamos separar y distinguir en su singular ocurrencia, la idea de performance puede resultar equívoca. Hablar de performatividad del género implica que el género es una actuación reiterada y obligatoria en función de unas normas sociales que nos exceden. La actuación que podamos encarnar con respecto al género estará signada siempre por un sistema de recompensas y castigos. La performatividad del género no es un hecho aislado de su contexto social, es una práctica social, una reiteración continuada y constante en la que la normativa de género se negocia. En </w:t>
      </w:r>
      <w:r w:rsidRPr="00AC7832">
        <w:rPr>
          <w:rFonts w:ascii="Arial" w:hAnsi="Arial" w:cs="Arial"/>
          <w:color w:val="000000"/>
          <w:sz w:val="20"/>
          <w:szCs w:val="20"/>
          <w:lang w:val="es-UY"/>
        </w:rPr>
        <w:lastRenderedPageBreak/>
        <w:t>la performatividad del género, el sujeto no es el dueño de su género, y no realiza simplemente la “performance” que más le satisface, sino que se ve obligado a “actuar” el género en función de una normativa genérica que promueve y legitima o sanciona y excluye. En esta tensión, la actuación del género que una deviene es el efecto de una negociación con esta normativa.</w:t>
      </w:r>
    </w:p>
    <w:p w:rsidR="00AC7832" w:rsidRPr="00AC7832" w:rsidRDefault="00AC7832" w:rsidP="00AC7832">
      <w:pPr>
        <w:spacing w:before="300" w:after="150" w:line="375" w:lineRule="atLeast"/>
        <w:outlineLvl w:val="0"/>
        <w:rPr>
          <w:rFonts w:ascii="Arial" w:eastAsia="Times New Roman" w:hAnsi="Arial" w:cs="Arial"/>
          <w:color w:val="000000"/>
          <w:kern w:val="36"/>
          <w:sz w:val="36"/>
          <w:szCs w:val="36"/>
          <w:lang w:val="es-UY"/>
        </w:rPr>
      </w:pPr>
      <w:r w:rsidRPr="00AC7832">
        <w:rPr>
          <w:rFonts w:ascii="Arial" w:eastAsia="Times New Roman" w:hAnsi="Arial" w:cs="Arial"/>
          <w:color w:val="000000"/>
          <w:kern w:val="36"/>
          <w:sz w:val="36"/>
          <w:szCs w:val="36"/>
          <w:lang w:val="es-UY"/>
        </w:rPr>
        <w:t>5</w:t>
      </w:r>
    </w:p>
    <w:p w:rsidR="00AC7832" w:rsidRPr="00AC7832" w:rsidRDefault="00AC7832" w:rsidP="00AC7832">
      <w:pPr>
        <w:spacing w:before="150" w:after="150" w:line="300" w:lineRule="atLeast"/>
        <w:outlineLvl w:val="2"/>
        <w:rPr>
          <w:rFonts w:ascii="Arial" w:eastAsia="Times New Roman" w:hAnsi="Arial" w:cs="Arial"/>
          <w:color w:val="000000"/>
          <w:sz w:val="29"/>
          <w:szCs w:val="29"/>
          <w:lang w:val="es-UY"/>
        </w:rPr>
      </w:pPr>
      <w:r w:rsidRPr="00AC7832">
        <w:rPr>
          <w:rFonts w:ascii="Arial" w:eastAsia="Times New Roman" w:hAnsi="Arial" w:cs="Arial"/>
          <w:color w:val="000000"/>
          <w:sz w:val="29"/>
          <w:szCs w:val="29"/>
          <w:lang w:val="es-UY"/>
        </w:rPr>
        <w:t>Poderes y políticas</w:t>
      </w:r>
    </w:p>
    <w:p w:rsidR="00AC7832" w:rsidRPr="00AC7832" w:rsidRDefault="00AC7832" w:rsidP="00AC7832">
      <w:pPr>
        <w:spacing w:before="225" w:after="225" w:line="360" w:lineRule="atLeast"/>
        <w:rPr>
          <w:rFonts w:ascii="Arial" w:hAnsi="Arial" w:cs="Arial"/>
          <w:color w:val="000000"/>
          <w:sz w:val="20"/>
          <w:szCs w:val="20"/>
          <w:lang w:val="es-UY"/>
        </w:rPr>
      </w:pPr>
      <w:r w:rsidRPr="00AC7832">
        <w:rPr>
          <w:rFonts w:ascii="Arial" w:hAnsi="Arial" w:cs="Arial"/>
          <w:color w:val="000000"/>
          <w:sz w:val="20"/>
          <w:szCs w:val="20"/>
          <w:lang w:val="es-UY"/>
        </w:rPr>
        <w:t>Hablar de género es hablar de relaciones de poder. Hay que tener muy en cuenta que en esta negociación, el no encarnar el género de forma normativa o ideal supone arriesgar la propia posibilidad de ser aceptable para el otro, y no sólo esto, sino también, incluso, supone arriesgar la posibilidad de ser legible como sujeto pleno, o la posibilidad de ser real a los ojos de los otros, y aun más, supone en muchos casos arriesgar la propia vida. En este sentido, la oportunidad política a la que abren los señalamientos de Butler se debe a que si el género no existe por fuera de esta actuación, y las normas del género tampoco son algo distinto que la propia reiteración y actuación de esas mismas normas, esto quiere decir que ellas están siempre sujetas a la resignificación y a la renegociación, abiertas a la transformación social. Estas normas que son encarnadas por los sujetos pueden reproducirse de tal modo que la normas hegemónicas del género queden intactas. Pero también estas normas viven amenazadas por el hecho de que su repetición implique un tipo de actuación que pervierta, debilite o ponga en cuestión esas mismas normas, subvirtiéndolas y transformándolas. Esta inestabilidad constitutiva de las normas es una oportunidad política.</w:t>
      </w:r>
    </w:p>
    <w:p w:rsidR="00AC7832" w:rsidRPr="00AC7832" w:rsidRDefault="00AC7832" w:rsidP="00AC7832">
      <w:pPr>
        <w:spacing w:before="300" w:after="150" w:line="375" w:lineRule="atLeast"/>
        <w:outlineLvl w:val="0"/>
        <w:rPr>
          <w:rFonts w:ascii="Arial" w:eastAsia="Times New Roman" w:hAnsi="Arial" w:cs="Arial"/>
          <w:color w:val="000000"/>
          <w:kern w:val="36"/>
          <w:sz w:val="36"/>
          <w:szCs w:val="36"/>
          <w:lang w:val="es-UY"/>
        </w:rPr>
      </w:pPr>
      <w:r w:rsidRPr="00AC7832">
        <w:rPr>
          <w:rFonts w:ascii="Arial" w:eastAsia="Times New Roman" w:hAnsi="Arial" w:cs="Arial"/>
          <w:color w:val="000000"/>
          <w:kern w:val="36"/>
          <w:sz w:val="36"/>
          <w:szCs w:val="36"/>
          <w:lang w:val="es-UY"/>
        </w:rPr>
        <w:t>6</w:t>
      </w:r>
    </w:p>
    <w:p w:rsidR="00AC7832" w:rsidRPr="00AC7832" w:rsidRDefault="00AC7832" w:rsidP="00AC7832">
      <w:pPr>
        <w:spacing w:before="150" w:after="150" w:line="300" w:lineRule="atLeast"/>
        <w:outlineLvl w:val="2"/>
        <w:rPr>
          <w:rFonts w:ascii="Arial" w:eastAsia="Times New Roman" w:hAnsi="Arial" w:cs="Arial"/>
          <w:color w:val="000000"/>
          <w:sz w:val="29"/>
          <w:szCs w:val="29"/>
          <w:lang w:val="es-UY"/>
        </w:rPr>
      </w:pPr>
      <w:r w:rsidRPr="00AC7832">
        <w:rPr>
          <w:rFonts w:ascii="Arial" w:eastAsia="Times New Roman" w:hAnsi="Arial" w:cs="Arial"/>
          <w:color w:val="000000"/>
          <w:sz w:val="29"/>
          <w:szCs w:val="29"/>
          <w:lang w:val="es-UY"/>
        </w:rPr>
        <w:t>La aparición de la homosexualidad</w:t>
      </w:r>
    </w:p>
    <w:p w:rsidR="00AC7832" w:rsidRPr="00AC7832" w:rsidRDefault="00AC7832" w:rsidP="00AC7832">
      <w:pPr>
        <w:spacing w:before="225" w:after="225" w:line="360" w:lineRule="atLeast"/>
        <w:rPr>
          <w:rFonts w:ascii="Arial" w:hAnsi="Arial" w:cs="Arial"/>
          <w:color w:val="000000"/>
          <w:sz w:val="20"/>
          <w:szCs w:val="20"/>
          <w:lang w:val="es-UY"/>
        </w:rPr>
      </w:pPr>
      <w:r w:rsidRPr="00AC7832">
        <w:rPr>
          <w:rFonts w:ascii="Arial" w:hAnsi="Arial" w:cs="Arial"/>
          <w:color w:val="000000"/>
          <w:sz w:val="20"/>
          <w:szCs w:val="20"/>
          <w:lang w:val="es-UY"/>
        </w:rPr>
        <w:t>En paralelo con otras autoras que también han revisado el hecho de que las ideas que conlleva el género han sido tributarias de la matriz heterosexual –como por ejemplo Monique Wittig, Adrienne Rich o Gayle Rubin– los planteamientos de Butler apuntan a señalar que los ideales de masculinidad y feminidad han sido configurados como presuntamente heterosexuales. Si desde el esquema freudiano, por ejemplo, se parte de la idea normativa de que la identificación (con un género) se opone y excluye la orientación del deseo (se deseará el género con el cual no nos identificamos) –identificarse como mujer implicaría que el deseo debería orientarse hacia la posición masculina, y viceversa–, Butler planteará que esto no es necesariamente así. (Este es el prejuicio que permite entender el hecho de que históricamente se haya pensado en la idea de que un hombre que desea a otros hombres tenderá a ser necesariamente afeminado, y lo mismo en el caso de las mujeres, que si desean lo femenino, esto deberá asociarse con la identificación con lo masculino)</w:t>
      </w:r>
    </w:p>
    <w:p w:rsidR="00AC7832" w:rsidRPr="00AC7832" w:rsidRDefault="00AC7832" w:rsidP="00AC7832">
      <w:pPr>
        <w:spacing w:before="300" w:after="150" w:line="375" w:lineRule="atLeast"/>
        <w:outlineLvl w:val="0"/>
        <w:rPr>
          <w:rFonts w:ascii="Arial" w:eastAsia="Times New Roman" w:hAnsi="Arial" w:cs="Arial"/>
          <w:color w:val="000000"/>
          <w:kern w:val="36"/>
          <w:sz w:val="36"/>
          <w:szCs w:val="36"/>
          <w:lang w:val="es-UY"/>
        </w:rPr>
      </w:pPr>
      <w:r w:rsidRPr="00AC7832">
        <w:rPr>
          <w:rFonts w:ascii="Arial" w:eastAsia="Times New Roman" w:hAnsi="Arial" w:cs="Arial"/>
          <w:color w:val="000000"/>
          <w:kern w:val="36"/>
          <w:sz w:val="36"/>
          <w:szCs w:val="36"/>
          <w:lang w:val="es-UY"/>
        </w:rPr>
        <w:lastRenderedPageBreak/>
        <w:t>7</w:t>
      </w:r>
    </w:p>
    <w:p w:rsidR="00AC7832" w:rsidRPr="00AC7832" w:rsidRDefault="00AC7832" w:rsidP="00AC7832">
      <w:pPr>
        <w:spacing w:before="150" w:after="150" w:line="300" w:lineRule="atLeast"/>
        <w:outlineLvl w:val="2"/>
        <w:rPr>
          <w:rFonts w:ascii="Arial" w:eastAsia="Times New Roman" w:hAnsi="Arial" w:cs="Arial"/>
          <w:color w:val="000000"/>
          <w:sz w:val="29"/>
          <w:szCs w:val="29"/>
          <w:lang w:val="es-UY"/>
        </w:rPr>
      </w:pPr>
      <w:r w:rsidRPr="00AC7832">
        <w:rPr>
          <w:rFonts w:ascii="Arial" w:eastAsia="Times New Roman" w:hAnsi="Arial" w:cs="Arial"/>
          <w:color w:val="000000"/>
          <w:sz w:val="29"/>
          <w:szCs w:val="29"/>
          <w:lang w:val="es-UY"/>
        </w:rPr>
        <w:t>La ley del deseo</w:t>
      </w:r>
    </w:p>
    <w:p w:rsidR="00AC7832" w:rsidRPr="00AC7832" w:rsidRDefault="00AC7832" w:rsidP="00AC7832">
      <w:pPr>
        <w:spacing w:before="225" w:after="225" w:line="360" w:lineRule="atLeast"/>
        <w:rPr>
          <w:rFonts w:ascii="Arial" w:hAnsi="Arial" w:cs="Arial"/>
          <w:color w:val="000000"/>
          <w:sz w:val="20"/>
          <w:szCs w:val="20"/>
          <w:lang w:val="es-UY"/>
        </w:rPr>
      </w:pPr>
      <w:r w:rsidRPr="00AC7832">
        <w:rPr>
          <w:rFonts w:ascii="Arial" w:hAnsi="Arial" w:cs="Arial"/>
          <w:color w:val="000000"/>
          <w:sz w:val="20"/>
          <w:szCs w:val="20"/>
          <w:lang w:val="es-UY"/>
        </w:rPr>
        <w:t>Desde el punto de vista de Butler, deseo e identificación no tienen por qué ser mutuamente excluyentes. Y aún más, ni siquiera, ni tampoco, éstos tendrían por qué ser necesariamente unívocos. No hay ninguna razón esencial que justifique que una debe identificarse unívoca e inequívocamente con un género completa y totalmente. Asimismo, tampoco habría ninguna necesidad en que una deba orientar su deseo hacia un género u otro. Tal es el caso por ejemplo de la bisexualidad.</w:t>
      </w:r>
    </w:p>
    <w:p w:rsidR="00AC7832" w:rsidRPr="00AC7832" w:rsidRDefault="00AC7832" w:rsidP="00AC7832">
      <w:pPr>
        <w:spacing w:before="225" w:after="225" w:line="360" w:lineRule="atLeast"/>
        <w:rPr>
          <w:rFonts w:ascii="Arial" w:hAnsi="Arial" w:cs="Arial"/>
          <w:color w:val="000000"/>
          <w:sz w:val="20"/>
          <w:szCs w:val="20"/>
          <w:lang w:val="es-UY"/>
        </w:rPr>
      </w:pPr>
      <w:r w:rsidRPr="00AC7832">
        <w:rPr>
          <w:rFonts w:ascii="Arial" w:hAnsi="Arial" w:cs="Arial"/>
          <w:color w:val="000000"/>
          <w:sz w:val="20"/>
          <w:szCs w:val="20"/>
          <w:lang w:val="es-UY"/>
        </w:rPr>
        <w:t>En tanto ideales a los que ningún sujeto puede acceder de forma absoluta, masculinidad y feminidad pueden ser –y de hecho son– distribuidos, encarnados, combinados y resignificados de formas contradictorias y complejas en cada sujeto. Y no hay encarnaciones o actuaciones de la feminidad o de la masculinidad que sean más auténticas que otras, ni más “verdaderas” que otras. Lo que habría, en todo caso, son formas de negociación de estos ideales más sedimentados, y por ende naturalizados o legitimados que otros, lo que consecuentemente los vuelve “más respetables” de acuerdo con un imaginario social que continúa siendo primordialmente heterocéntrico.</w:t>
      </w:r>
    </w:p>
    <w:p w:rsidR="00AC7832" w:rsidRPr="00AC7832" w:rsidRDefault="00AC7832" w:rsidP="00AC7832">
      <w:pPr>
        <w:spacing w:before="225" w:after="225" w:line="360" w:lineRule="atLeast"/>
        <w:rPr>
          <w:rFonts w:ascii="Arial" w:hAnsi="Arial" w:cs="Arial"/>
          <w:color w:val="000000"/>
          <w:sz w:val="20"/>
          <w:szCs w:val="20"/>
          <w:lang w:val="es-UY"/>
        </w:rPr>
      </w:pPr>
      <w:r w:rsidRPr="00AC7832">
        <w:rPr>
          <w:rFonts w:ascii="Arial" w:hAnsi="Arial" w:cs="Arial"/>
          <w:b/>
          <w:bCs/>
          <w:i/>
          <w:iCs/>
          <w:color w:val="000000"/>
          <w:sz w:val="20"/>
          <w:szCs w:val="20"/>
          <w:lang w:val="es-UY"/>
        </w:rPr>
        <w:t>Leticia Sabsay</w:t>
      </w:r>
      <w:r w:rsidRPr="00AC7832">
        <w:rPr>
          <w:rFonts w:ascii="Arial" w:hAnsi="Arial" w:cs="Arial"/>
          <w:i/>
          <w:iCs/>
          <w:color w:val="000000"/>
          <w:sz w:val="20"/>
          <w:szCs w:val="20"/>
          <w:lang w:val="es-UY"/>
        </w:rPr>
        <w:br/>
        <w:t>Socióloga (UBA) Doctora por la Universidad de Valencia. Sus temas de investigación abordan la articulación de los conceptos de género, subjetividad y ciudadanía en la teoría feminista contemporánea. Participò con Judith Butler en el dictado del Seminario de doctorado “Performatividad, género y teoría social: la revisión de la categoría de sujeto”, que tuvo lugar en la Facultad de Ciencias Sociales de la UBA.</w:t>
      </w:r>
    </w:p>
    <w:p w:rsidR="00AC7832" w:rsidRPr="00AC7832" w:rsidRDefault="00AC7832" w:rsidP="00AC7832">
      <w:pPr>
        <w:shd w:val="clear" w:color="auto" w:fill="E2ECF6"/>
        <w:spacing w:after="150" w:line="360" w:lineRule="atLeast"/>
        <w:outlineLvl w:val="3"/>
        <w:rPr>
          <w:rFonts w:ascii="Arial" w:eastAsia="Times New Roman" w:hAnsi="Arial" w:cs="Arial"/>
          <w:b/>
          <w:bCs/>
          <w:color w:val="000000"/>
          <w:sz w:val="20"/>
          <w:szCs w:val="20"/>
          <w:lang w:val="es-UY"/>
        </w:rPr>
      </w:pPr>
      <w:r w:rsidRPr="00AC7832">
        <w:rPr>
          <w:rFonts w:ascii="Arial" w:eastAsia="Times New Roman" w:hAnsi="Arial" w:cs="Arial"/>
          <w:b/>
          <w:bCs/>
          <w:color w:val="000000"/>
          <w:sz w:val="20"/>
          <w:szCs w:val="20"/>
          <w:lang w:val="es-UY"/>
        </w:rPr>
        <w:t>ENTREVISTA</w:t>
      </w:r>
    </w:p>
    <w:p w:rsidR="00AC7832" w:rsidRPr="00AC7832" w:rsidRDefault="00AC7832" w:rsidP="00AC7832">
      <w:pPr>
        <w:shd w:val="clear" w:color="auto" w:fill="E2ECF6"/>
        <w:spacing w:before="300" w:after="150" w:line="375" w:lineRule="atLeast"/>
        <w:outlineLvl w:val="0"/>
        <w:rPr>
          <w:rFonts w:ascii="Arial" w:eastAsia="Times New Roman" w:hAnsi="Arial" w:cs="Arial"/>
          <w:color w:val="000000"/>
          <w:kern w:val="36"/>
          <w:sz w:val="36"/>
          <w:szCs w:val="36"/>
          <w:lang w:val="es-UY"/>
        </w:rPr>
      </w:pPr>
      <w:r w:rsidRPr="00AC7832">
        <w:rPr>
          <w:rFonts w:ascii="Arial" w:eastAsia="Times New Roman" w:hAnsi="Arial" w:cs="Arial"/>
          <w:color w:val="000000"/>
          <w:kern w:val="36"/>
          <w:sz w:val="36"/>
          <w:szCs w:val="36"/>
          <w:lang w:val="es-UY"/>
        </w:rPr>
        <w:t>La invención de la palabra</w:t>
      </w:r>
    </w:p>
    <w:p w:rsidR="00AC7832" w:rsidRPr="00AC7832" w:rsidRDefault="00AC7832" w:rsidP="00AC7832">
      <w:pPr>
        <w:shd w:val="clear" w:color="auto" w:fill="E2ECF6"/>
        <w:spacing w:before="150" w:after="150" w:line="360" w:lineRule="atLeast"/>
        <w:outlineLvl w:val="3"/>
        <w:rPr>
          <w:rFonts w:ascii="Arial" w:eastAsia="Times New Roman" w:hAnsi="Arial" w:cs="Arial"/>
          <w:b/>
          <w:bCs/>
          <w:color w:val="000000"/>
          <w:sz w:val="20"/>
          <w:szCs w:val="20"/>
          <w:lang w:val="es-UY"/>
        </w:rPr>
      </w:pPr>
      <w:r w:rsidRPr="00AC7832">
        <w:rPr>
          <w:rFonts w:ascii="Arial" w:eastAsia="Times New Roman" w:hAnsi="Arial" w:cs="Arial"/>
          <w:b/>
          <w:bCs/>
          <w:color w:val="000000"/>
          <w:sz w:val="20"/>
          <w:szCs w:val="20"/>
          <w:lang w:val="es-UY"/>
        </w:rPr>
        <w:t>¿Cómo ve el devenir de la potencia de lo que usted llamó la “matriz heterosexual” en las últimas cinco décadas? ¿Qué cambios han ocurrido y a qué cree que se deben?</w:t>
      </w:r>
    </w:p>
    <w:p w:rsidR="00AC7832" w:rsidRPr="00AC7832" w:rsidRDefault="00AC7832" w:rsidP="00AC7832">
      <w:pPr>
        <w:shd w:val="clear" w:color="auto" w:fill="E2ECF6"/>
        <w:spacing w:before="150" w:after="150" w:line="360" w:lineRule="atLeast"/>
        <w:ind w:left="300" w:right="300"/>
        <w:rPr>
          <w:rFonts w:ascii="Arial" w:hAnsi="Arial" w:cs="Arial"/>
          <w:color w:val="000000"/>
          <w:sz w:val="20"/>
          <w:szCs w:val="20"/>
          <w:lang w:val="es-UY"/>
        </w:rPr>
      </w:pPr>
      <w:r w:rsidRPr="00AC7832">
        <w:rPr>
          <w:rFonts w:ascii="Arial" w:hAnsi="Arial" w:cs="Arial"/>
          <w:color w:val="000000"/>
          <w:sz w:val="20"/>
          <w:szCs w:val="20"/>
          <w:lang w:val="es-UY"/>
        </w:rPr>
        <w:t xml:space="preserve">–Pienso que tenemos que asumir que “la matriz heterosexual” es una manera de intentar describir las cambiantes operaciones de la heterosexualidad hegemónica y obligatoria, y que esta “matriz” no tiene una única formulación. A veces, una construcción teórica como “matriz heterosexual” actúa como punto de partida para un análisis pero no es en sí misma descriptiva. Podríamos hablar sobre cambios producidos en las últimas cinco décadas dentro de ciertos contextos geopolíticos y seguramente notaremos que hay más espacio para otros modos de la sexualidad –gay, lesbiana, bisexual–, pero también tendríamos que advertir los nuevos métodos de normalización </w:t>
      </w:r>
      <w:r w:rsidRPr="00AC7832">
        <w:rPr>
          <w:rFonts w:ascii="Arial" w:hAnsi="Arial" w:cs="Arial"/>
          <w:color w:val="000000"/>
          <w:sz w:val="20"/>
          <w:szCs w:val="20"/>
          <w:lang w:val="es-UY"/>
        </w:rPr>
        <w:lastRenderedPageBreak/>
        <w:t>que emergieron en las mismas décadas. Lo que podría ser importante de considerar es la manera en que la separación entre reproducción y sexualidad es evidente para gente de cualquier orientación sexual. Aunque también habría que recordar que el funcionamiento de la matriz heterosexual no sólo impone heterosexualidad sino que también controla los términos del género. Por lo tanto, es importante también hacer un seguimiento de cómo los modos de presentación de las cuestiones de género ya no están vinculadas con la orientación sexual de manera clara o previsible. Hay, por supuesto, lugares en el globo donde es más difícil seguir el “progreso”, así que probablemente necesitemos desarrollar un mapa dinámico y complejo para ensayar y pensar más cuidadosamente cuándo y dónde opera la matriz heterosexual.</w:t>
      </w:r>
    </w:p>
    <w:p w:rsidR="00AC7832" w:rsidRPr="00AC7832" w:rsidRDefault="00AC7832" w:rsidP="00AC7832">
      <w:pPr>
        <w:shd w:val="clear" w:color="auto" w:fill="E2ECF6"/>
        <w:spacing w:before="150" w:after="150" w:line="360" w:lineRule="atLeast"/>
        <w:outlineLvl w:val="3"/>
        <w:rPr>
          <w:rFonts w:ascii="Arial" w:eastAsia="Times New Roman" w:hAnsi="Arial" w:cs="Arial"/>
          <w:b/>
          <w:bCs/>
          <w:color w:val="000000"/>
          <w:sz w:val="20"/>
          <w:szCs w:val="20"/>
          <w:lang w:val="es-UY"/>
        </w:rPr>
      </w:pPr>
      <w:r w:rsidRPr="00AC7832">
        <w:rPr>
          <w:rFonts w:ascii="Arial" w:eastAsia="Times New Roman" w:hAnsi="Arial" w:cs="Arial"/>
          <w:b/>
          <w:bCs/>
          <w:color w:val="000000"/>
          <w:sz w:val="20"/>
          <w:szCs w:val="20"/>
          <w:lang w:val="es-UY"/>
        </w:rPr>
        <w:t>¿Cómo imagina un futuro donde la norma binaria se haya diluido?</w:t>
      </w:r>
    </w:p>
    <w:p w:rsidR="00AC7832" w:rsidRPr="00AC7832" w:rsidRDefault="00AC7832" w:rsidP="00AC7832">
      <w:pPr>
        <w:shd w:val="clear" w:color="auto" w:fill="E2ECF6"/>
        <w:spacing w:before="150" w:after="150" w:line="360" w:lineRule="atLeast"/>
        <w:ind w:left="300" w:right="300"/>
        <w:rPr>
          <w:rFonts w:ascii="Arial" w:hAnsi="Arial" w:cs="Arial"/>
          <w:color w:val="000000"/>
          <w:sz w:val="20"/>
          <w:szCs w:val="20"/>
          <w:lang w:val="es-UY"/>
        </w:rPr>
      </w:pPr>
      <w:r w:rsidRPr="00AC7832">
        <w:rPr>
          <w:rFonts w:ascii="Arial" w:hAnsi="Arial" w:cs="Arial"/>
          <w:color w:val="000000"/>
          <w:sz w:val="20"/>
          <w:szCs w:val="20"/>
          <w:lang w:val="es-UY"/>
        </w:rPr>
        <w:t>–No es necesario imaginarse un futuro en este sentido porque la impugnación del sistema binario de géneros ya ha sucedido. De alguna manera, ha sucedido. El desafío es encontrar un mejor vocabulario para las maneras de vivir el género y la sexualidad que no encaje tan fácilmente en la norma binaria. De esta manera, el futuro está en el pasado y en el presente, pero necesitamos producir la palabra en la que la complejidad existente pueda ser reconocida y en donde el miedo a la marginación, patologización y la violencia sea radicalmente eliminado. Tal vez nuestra lucha sea menos para producir nuevas formulaciones del género que para construir un mundo en el que la gente pueda vivir y respirar dentro de la sexualidad y el género que ya viven.</w:t>
      </w:r>
    </w:p>
    <w:p w:rsidR="00AC7832" w:rsidRPr="00AC7832" w:rsidRDefault="00AC7832" w:rsidP="00AC7832">
      <w:pPr>
        <w:shd w:val="clear" w:color="auto" w:fill="E2ECF6"/>
        <w:spacing w:before="150" w:after="150" w:line="360" w:lineRule="atLeast"/>
        <w:outlineLvl w:val="3"/>
        <w:rPr>
          <w:rFonts w:ascii="Arial" w:eastAsia="Times New Roman" w:hAnsi="Arial" w:cs="Arial"/>
          <w:b/>
          <w:bCs/>
          <w:color w:val="000000"/>
          <w:sz w:val="20"/>
          <w:szCs w:val="20"/>
          <w:lang w:val="es-UY"/>
        </w:rPr>
      </w:pPr>
      <w:r w:rsidRPr="00AC7832">
        <w:rPr>
          <w:rFonts w:ascii="Arial" w:eastAsia="Times New Roman" w:hAnsi="Arial" w:cs="Arial"/>
          <w:b/>
          <w:bCs/>
          <w:color w:val="000000"/>
          <w:sz w:val="20"/>
          <w:szCs w:val="20"/>
          <w:lang w:val="es-UY"/>
        </w:rPr>
        <w:t>¿Qué consecuencias políticas traen aparejadas estas nuevas perspectivas?</w:t>
      </w:r>
    </w:p>
    <w:p w:rsidR="00AC7832" w:rsidRPr="00AC7832" w:rsidRDefault="00AC7832" w:rsidP="00AC7832">
      <w:pPr>
        <w:shd w:val="clear" w:color="auto" w:fill="E2ECF6"/>
        <w:spacing w:before="150" w:after="150" w:line="360" w:lineRule="atLeast"/>
        <w:ind w:left="300" w:right="300"/>
        <w:rPr>
          <w:rFonts w:ascii="Arial" w:hAnsi="Arial" w:cs="Arial"/>
          <w:color w:val="000000"/>
          <w:sz w:val="20"/>
          <w:szCs w:val="20"/>
          <w:lang w:val="es-UY"/>
        </w:rPr>
      </w:pPr>
      <w:r w:rsidRPr="00AC7832">
        <w:rPr>
          <w:rFonts w:ascii="Arial" w:hAnsi="Arial" w:cs="Arial"/>
          <w:color w:val="000000"/>
          <w:sz w:val="20"/>
          <w:szCs w:val="20"/>
          <w:lang w:val="es-UY"/>
        </w:rPr>
        <w:t>–Algunas son claras: la oposición en la calle a la violencia médica y policial contra la gente transgénero, la conformación de nuevas alianzas entre feministas, lesbianas, gays y bisexuales, queer, genderqueer, transgéneros, intersex; la despatoligización de la homosexualidad y la transexualidad dentro de los manuales y prácticas médicas, la producción de espacios culturales donde a través del arte es posible explorar las luchas y los placeres de estas vidas particulares, el desarrollo de formas de activismo basadas menos en una identidad estricta que en una forma de afiliación donde la diferencia tenga más valor que la superación de ésta.</w:t>
      </w:r>
    </w:p>
    <w:p w:rsidR="00AC7832" w:rsidRPr="00AC7832" w:rsidRDefault="00AC7832" w:rsidP="00AC7832">
      <w:pPr>
        <w:shd w:val="clear" w:color="auto" w:fill="E2ECF6"/>
        <w:spacing w:before="150" w:after="150" w:line="360" w:lineRule="atLeast"/>
        <w:outlineLvl w:val="3"/>
        <w:rPr>
          <w:rFonts w:ascii="Arial" w:eastAsia="Times New Roman" w:hAnsi="Arial" w:cs="Arial"/>
          <w:b/>
          <w:bCs/>
          <w:color w:val="000000"/>
          <w:sz w:val="20"/>
          <w:szCs w:val="20"/>
          <w:lang w:val="es-UY"/>
        </w:rPr>
      </w:pPr>
      <w:r w:rsidRPr="00AC7832">
        <w:rPr>
          <w:rFonts w:ascii="Arial" w:eastAsia="Times New Roman" w:hAnsi="Arial" w:cs="Arial"/>
          <w:b/>
          <w:bCs/>
          <w:color w:val="000000"/>
          <w:sz w:val="20"/>
          <w:szCs w:val="20"/>
          <w:lang w:val="es-UY"/>
        </w:rPr>
        <w:t>¿Es posible adaptar su trabajo teórico, sobre todo el vinculado con los temas de género, a la vida cotidiana?</w:t>
      </w:r>
    </w:p>
    <w:p w:rsidR="00AC7832" w:rsidRPr="00AC7832" w:rsidRDefault="00AC7832" w:rsidP="00AC7832">
      <w:pPr>
        <w:shd w:val="clear" w:color="auto" w:fill="E2ECF6"/>
        <w:spacing w:before="150" w:after="150" w:line="360" w:lineRule="atLeast"/>
        <w:ind w:left="300" w:right="300"/>
        <w:rPr>
          <w:rFonts w:ascii="Arial" w:hAnsi="Arial" w:cs="Arial"/>
          <w:color w:val="000000"/>
          <w:sz w:val="20"/>
          <w:szCs w:val="20"/>
          <w:lang w:val="es-UY"/>
        </w:rPr>
      </w:pPr>
      <w:r w:rsidRPr="00AC7832">
        <w:rPr>
          <w:rFonts w:ascii="Arial" w:hAnsi="Arial" w:cs="Arial"/>
          <w:color w:val="000000"/>
          <w:sz w:val="20"/>
          <w:szCs w:val="20"/>
          <w:lang w:val="es-UY"/>
        </w:rPr>
        <w:t xml:space="preserve">–Hay varias formas de responder esa pregunta. Mi primera respuesta es decir que el trabajo y el amor están relacionados, y con eso quiero decir que amo mi trabajo y que mi trabajo proviene en parte de reflexiones sobre las condiciones del amor. Pero más que eso, creo que el género tiene mucho que ver con las relaciones que mantenemos en la vida. No siempre es el aspecto más importante de toda relación, pero el género es una </w:t>
      </w:r>
      <w:r w:rsidRPr="00AC7832">
        <w:rPr>
          <w:rFonts w:ascii="Arial" w:hAnsi="Arial" w:cs="Arial"/>
          <w:color w:val="000000"/>
          <w:sz w:val="20"/>
          <w:szCs w:val="20"/>
          <w:lang w:val="es-UY"/>
        </w:rPr>
        <w:lastRenderedPageBreak/>
        <w:t>forma de relacionarse. Pienso que la gente, en todo el mundo, está confundida con el género, incluso cuando lo están disfrutando, así que miran los recursos culturales que tienen a su disposición para que estas cuestiones tengan sentido. La teoría académica es sólo un recurso entre otros.</w:t>
      </w:r>
    </w:p>
    <w:p w:rsidR="00AC7832" w:rsidRPr="00AC7832" w:rsidRDefault="00AC7832" w:rsidP="00AC7832">
      <w:pPr>
        <w:shd w:val="clear" w:color="auto" w:fill="E2ECF6"/>
        <w:spacing w:before="150" w:after="150" w:line="360" w:lineRule="atLeast"/>
        <w:outlineLvl w:val="3"/>
        <w:rPr>
          <w:rFonts w:ascii="Arial" w:eastAsia="Times New Roman" w:hAnsi="Arial" w:cs="Arial"/>
          <w:b/>
          <w:bCs/>
          <w:color w:val="000000"/>
          <w:sz w:val="20"/>
          <w:szCs w:val="20"/>
          <w:lang w:val="es-UY"/>
        </w:rPr>
      </w:pPr>
      <w:r w:rsidRPr="00AC7832">
        <w:rPr>
          <w:rFonts w:ascii="Arial" w:eastAsia="Times New Roman" w:hAnsi="Arial" w:cs="Arial"/>
          <w:b/>
          <w:bCs/>
          <w:color w:val="000000"/>
          <w:sz w:val="20"/>
          <w:szCs w:val="20"/>
          <w:lang w:val="es-UY"/>
        </w:rPr>
        <w:t>Pero dado que usted teoriza sobre el amor, la sexualidad, el deseo y el género, ¿hay alguna forma de aplicar algunos de sus postulados?</w:t>
      </w:r>
    </w:p>
    <w:p w:rsidR="00AC7832" w:rsidRPr="00AC7832" w:rsidRDefault="00AC7832" w:rsidP="00AC7832">
      <w:pPr>
        <w:shd w:val="clear" w:color="auto" w:fill="E2ECF6"/>
        <w:spacing w:before="150" w:after="150" w:line="360" w:lineRule="atLeast"/>
        <w:ind w:left="300" w:right="300"/>
        <w:rPr>
          <w:rFonts w:ascii="Arial" w:hAnsi="Arial" w:cs="Arial"/>
          <w:color w:val="000000"/>
          <w:sz w:val="20"/>
          <w:szCs w:val="20"/>
          <w:lang w:val="es-UY"/>
        </w:rPr>
      </w:pPr>
      <w:r w:rsidRPr="00AC7832">
        <w:rPr>
          <w:rFonts w:ascii="Arial" w:hAnsi="Arial" w:cs="Arial"/>
          <w:color w:val="000000"/>
          <w:sz w:val="20"/>
          <w:szCs w:val="20"/>
          <w:lang w:val="es-UY"/>
        </w:rPr>
        <w:t>–No pienso que la teoría deba ser aplicada. No se trata de un conjunto de prescripciones abstractas aplicables a la vida práctica. La teoría no te dice cómo hacer las cosas, pero abre posibilidades. En un mundo que constantemente cierra posibilidades, es importante abrirlas. Una vez, Nancy Fraser (filósofa feminista norteamericana) me preguntó cómo se podía distinguir entre las posibilidades que había que valorar y las que no. Ella quería una forma de medir normas. Pero yo creo que se trata de maximizar las posibilidades de vivir la vida, aunque ésta sea precaria. De todos modos, cuando la gente toma una teoría y luego hace su propio análisis sobre una práctica social determinada –algo que yo no podría hacer– es algo maravilloso. Porque esa teoría sale del contexto en el que fue creada y entra en otro y se convierte en algo diferente. Para mí, la teoría es un gesto insuficiente. Hay que retomarla en distintos contextos para que se convierta en algo diferente. Y recién cuando esto ocurre la teoría es exitosa.</w:t>
      </w:r>
    </w:p>
    <w:p w:rsidR="00AC7832" w:rsidRPr="00AC7832" w:rsidRDefault="00AC7832" w:rsidP="00AC7832">
      <w:pPr>
        <w:shd w:val="clear" w:color="auto" w:fill="E2ECF6"/>
        <w:spacing w:before="150" w:after="150" w:line="360" w:lineRule="atLeast"/>
        <w:outlineLvl w:val="3"/>
        <w:rPr>
          <w:rFonts w:ascii="Arial" w:eastAsia="Times New Roman" w:hAnsi="Arial" w:cs="Arial"/>
          <w:b/>
          <w:bCs/>
          <w:color w:val="000000"/>
          <w:sz w:val="20"/>
          <w:szCs w:val="20"/>
          <w:lang w:val="es-UY"/>
        </w:rPr>
      </w:pPr>
      <w:r w:rsidRPr="00AC7832">
        <w:rPr>
          <w:rFonts w:ascii="Arial" w:eastAsia="Times New Roman" w:hAnsi="Arial" w:cs="Arial"/>
          <w:b/>
          <w:bCs/>
          <w:color w:val="000000"/>
          <w:sz w:val="20"/>
          <w:szCs w:val="20"/>
          <w:lang w:val="es-UY"/>
        </w:rPr>
        <w:t>¿Y entonces es posible dejar una marca en el mundo?</w:t>
      </w:r>
    </w:p>
    <w:p w:rsidR="00AC7832" w:rsidRPr="00AC7832" w:rsidRDefault="00AC7832" w:rsidP="00AC7832">
      <w:pPr>
        <w:shd w:val="clear" w:color="auto" w:fill="E2ECF6"/>
        <w:spacing w:before="150" w:after="150" w:line="360" w:lineRule="atLeast"/>
        <w:ind w:left="300" w:right="300"/>
        <w:rPr>
          <w:rFonts w:ascii="Arial" w:hAnsi="Arial" w:cs="Arial"/>
          <w:color w:val="000000"/>
          <w:sz w:val="20"/>
          <w:szCs w:val="20"/>
          <w:lang w:val="es-UY"/>
        </w:rPr>
      </w:pPr>
      <w:r w:rsidRPr="00AC7832">
        <w:rPr>
          <w:rFonts w:ascii="Arial" w:hAnsi="Arial" w:cs="Arial"/>
          <w:color w:val="000000"/>
          <w:sz w:val="20"/>
          <w:szCs w:val="20"/>
          <w:lang w:val="es-UY"/>
        </w:rPr>
        <w:t>–Cuando estaba en la facultad, yo formaba parte de un emergente movimiento gay y lésbico (por entonces no existía lo “queer”) y era una feminista comprometida. Lo que no entendía era cómo iba a poder juntar todos estos mundos diferentes. Parecían separados y que habría riesgos si intentaba unirlos. Pero, de a poco, de alguna forma se unieron, y yo me encontré en una posición afortunada. No estoy segura de que, como persona, yo pueda hacer una diferencia. Pero formo parte de un movimiento de pensamiento más grande que ha hecho y hace una diferencia.</w:t>
      </w:r>
    </w:p>
    <w:p w:rsidR="00AC7832" w:rsidRPr="00AC7832" w:rsidRDefault="00AC7832" w:rsidP="00AC7832">
      <w:pPr>
        <w:shd w:val="clear" w:color="auto" w:fill="E2ECF6"/>
        <w:spacing w:before="150" w:after="150" w:line="360" w:lineRule="atLeast"/>
        <w:outlineLvl w:val="3"/>
        <w:rPr>
          <w:rFonts w:ascii="Arial" w:eastAsia="Times New Roman" w:hAnsi="Arial" w:cs="Arial"/>
          <w:b/>
          <w:bCs/>
          <w:color w:val="000000"/>
          <w:sz w:val="20"/>
          <w:szCs w:val="20"/>
          <w:lang w:val="es-UY"/>
        </w:rPr>
      </w:pPr>
      <w:r w:rsidRPr="00AC7832">
        <w:rPr>
          <w:rFonts w:ascii="Arial" w:eastAsia="Times New Roman" w:hAnsi="Arial" w:cs="Arial"/>
          <w:b/>
          <w:bCs/>
          <w:color w:val="000000"/>
          <w:sz w:val="20"/>
          <w:szCs w:val="20"/>
          <w:lang w:val="es-UY"/>
        </w:rPr>
        <w:t>Usted apoyó a Obama antes de su elección. Hasta ahora, ¿está satisfecha con sus primeros meses en el gobierno?</w:t>
      </w:r>
    </w:p>
    <w:p w:rsidR="00AC7832" w:rsidRPr="00AC7832" w:rsidRDefault="00AC7832" w:rsidP="00AC7832">
      <w:pPr>
        <w:shd w:val="clear" w:color="auto" w:fill="E2ECF6"/>
        <w:spacing w:before="150" w:after="150" w:line="360" w:lineRule="atLeast"/>
        <w:ind w:left="300" w:right="300"/>
        <w:rPr>
          <w:rFonts w:ascii="Arial" w:hAnsi="Arial" w:cs="Arial"/>
          <w:color w:val="000000"/>
          <w:sz w:val="20"/>
          <w:szCs w:val="20"/>
          <w:lang w:val="es-UY"/>
        </w:rPr>
      </w:pPr>
      <w:r w:rsidRPr="00AC7832">
        <w:rPr>
          <w:rFonts w:ascii="Arial" w:hAnsi="Arial" w:cs="Arial"/>
          <w:color w:val="000000"/>
          <w:sz w:val="20"/>
          <w:szCs w:val="20"/>
          <w:lang w:val="es-UY"/>
        </w:rPr>
        <w:t xml:space="preserve">–Es verdad que voté a Obama en las primarias demócratas y en la elección final, pero tenía algunas dudas sobre sus posiciones. Es un demócrata centrista y es importante saber que la “izquierda” consiste en movimientos sociales radicales que no siempre están bien representados por Obama o sus funcionarios. Mi esperanza es que surja una práctica de la crítica en la izquierda. Por supuesto que estamos aliviados ahora que Bush se fue y que Obama está en el poder. Pero hay que recordar que Obama nunca apoyó el derecho al matrimonio entre personas del mismo sexo y que tenía el poder para influenciar en la votación de California que anuló el matrimonio gay. Pero, por </w:t>
      </w:r>
      <w:r w:rsidRPr="00AC7832">
        <w:rPr>
          <w:rFonts w:ascii="Arial" w:hAnsi="Arial" w:cs="Arial"/>
          <w:color w:val="000000"/>
          <w:sz w:val="20"/>
          <w:szCs w:val="20"/>
          <w:lang w:val="es-UY"/>
        </w:rPr>
        <w:lastRenderedPageBreak/>
        <w:t>razones tácticas, eligió no hacer nada. Y estuvo dolorosamente callado durante el ataque a Gaza, incluso cuando debería ser claro para él que los judíos progresistas ahora están preparados para criticar la violencia del Estado israelí. También eligió en su gabinete a gente que es muy conocida por su misoginia y racismo, como Lawrence Summers (N. de la R: profesor en Harvard y director del Consejo Nacional Económico). Así que veamos cuán lejos está dispuesto a ir con respecto a las decisiones más difíciles. Debo decir que luego de sus primeros tres meses en el gobierno estoy más contenta de lo que había pensado. Cuando fue electo, me preocupaba que tanta gente estuviera enamorada de él y lo idealizara y que luego se decepcionara por completo o que “disculpara” sus numerosos compromisos con fuerzas más conservadoras. Pero creo que Obama hizo un buen trabajo al asegurarse de que la gente no lo viera como un Mesías. Ofrece esperanza, pero no redención, lo que para mí es un alivio. Ya veremos qué posición tomará su gobierno en cuanto al aborto. En mi opinión, ésta es una pregunta abierta.</w:t>
      </w:r>
    </w:p>
    <w:p w:rsidR="00AC7832" w:rsidRPr="00AC7832" w:rsidRDefault="00AC7832" w:rsidP="00AC7832">
      <w:pPr>
        <w:shd w:val="clear" w:color="auto" w:fill="E2ECF6"/>
        <w:spacing w:before="150" w:after="150" w:line="360" w:lineRule="atLeast"/>
        <w:outlineLvl w:val="3"/>
        <w:rPr>
          <w:rFonts w:ascii="Arial" w:eastAsia="Times New Roman" w:hAnsi="Arial" w:cs="Arial"/>
          <w:b/>
          <w:bCs/>
          <w:color w:val="000000"/>
          <w:sz w:val="20"/>
          <w:szCs w:val="20"/>
          <w:lang w:val="es-UY"/>
        </w:rPr>
      </w:pPr>
      <w:r w:rsidRPr="00AC7832">
        <w:rPr>
          <w:rFonts w:ascii="Arial" w:eastAsia="Times New Roman" w:hAnsi="Arial" w:cs="Arial"/>
          <w:b/>
          <w:bCs/>
          <w:color w:val="000000"/>
          <w:sz w:val="20"/>
          <w:szCs w:val="20"/>
          <w:lang w:val="es-UY"/>
        </w:rPr>
        <w:t>¿Le resulta llamativo que en este momento se discuta en distintos lugares del mundo –con el apoyo de múltiples personalidades públicas– la legalización del matrimonio gay y que el aborto, a su vez, siga siendo un tema tabú o defendido sólo por grupos de mujeres militantes?</w:t>
      </w:r>
    </w:p>
    <w:p w:rsidR="00AC7832" w:rsidRPr="00AC7832" w:rsidRDefault="00AC7832" w:rsidP="00AC7832">
      <w:pPr>
        <w:shd w:val="clear" w:color="auto" w:fill="E2ECF6"/>
        <w:spacing w:before="150" w:after="150" w:line="360" w:lineRule="atLeast"/>
        <w:ind w:left="300" w:right="300"/>
        <w:rPr>
          <w:rFonts w:ascii="Arial" w:hAnsi="Arial" w:cs="Arial"/>
          <w:color w:val="000000"/>
          <w:sz w:val="20"/>
          <w:szCs w:val="20"/>
          <w:lang w:val="es-UY"/>
        </w:rPr>
      </w:pPr>
      <w:r w:rsidRPr="00AC7832">
        <w:rPr>
          <w:rFonts w:ascii="Arial" w:hAnsi="Arial" w:cs="Arial"/>
          <w:color w:val="000000"/>
          <w:sz w:val="20"/>
          <w:szCs w:val="20"/>
          <w:lang w:val="es-UY"/>
        </w:rPr>
        <w:t>–Es importante considerar cómo el movimiento “pro-matrimonio” ha limpiado las relaciones homosexuales y neutralizado el radicalismo sexual. Ahora gira alrededor de imágenes de monogamia y propiedad. Y, sin embargo, la práctica del aborto es muchas veces presentada como una opción socialmente condenable o estigmatizada por la pérdida de status de clase. Así que me parece que necesitamos repensar el feminismo y los movimientos sexuales radicales para tomar en cuenta formas de filiación que no son conyugales y que no siempre se basan en derechos de propiedad. Y también habría que volver a aliar al movimiento gay y lésbico (y a los bisexuales) con el feminismo y la crítica de la opresión de clase. Mi temor es que en los Estados Unidos estemos aceptando los términos de la democracia liberal participativa en el sentido amplio del compromiso político. Por supuesto, quiero esa democracia, pero quiero que sigamos preguntándonos qué es lo que la democracia radical nos pide ahora.</w:t>
      </w:r>
    </w:p>
    <w:p w:rsidR="00AC7832" w:rsidRPr="00AC7832" w:rsidRDefault="00AC7832" w:rsidP="00AC7832">
      <w:pPr>
        <w:shd w:val="clear" w:color="auto" w:fill="E2ECF6"/>
        <w:spacing w:before="150" w:after="150" w:line="360" w:lineRule="atLeast"/>
        <w:outlineLvl w:val="3"/>
        <w:rPr>
          <w:rFonts w:ascii="Arial" w:eastAsia="Times New Roman" w:hAnsi="Arial" w:cs="Arial"/>
          <w:b/>
          <w:bCs/>
          <w:color w:val="000000"/>
          <w:sz w:val="20"/>
          <w:szCs w:val="20"/>
          <w:lang w:val="es-UY"/>
        </w:rPr>
      </w:pPr>
      <w:r w:rsidRPr="00AC7832">
        <w:rPr>
          <w:rFonts w:ascii="Arial" w:eastAsia="Times New Roman" w:hAnsi="Arial" w:cs="Arial"/>
          <w:b/>
          <w:bCs/>
          <w:color w:val="000000"/>
          <w:sz w:val="20"/>
          <w:szCs w:val="20"/>
          <w:lang w:val="es-UY"/>
        </w:rPr>
        <w:t>¿Cómo ingresa el concepto de familia en esta historia? ¿Cree que se ha modificado?</w:t>
      </w:r>
    </w:p>
    <w:p w:rsidR="00AC7832" w:rsidRPr="00AC7832" w:rsidRDefault="00AC7832" w:rsidP="00AC7832">
      <w:pPr>
        <w:shd w:val="clear" w:color="auto" w:fill="E2ECF6"/>
        <w:spacing w:before="150" w:after="150" w:line="360" w:lineRule="atLeast"/>
        <w:ind w:left="300" w:right="300"/>
        <w:rPr>
          <w:rFonts w:ascii="Arial" w:hAnsi="Arial" w:cs="Arial"/>
          <w:color w:val="000000"/>
          <w:sz w:val="20"/>
          <w:szCs w:val="20"/>
          <w:lang w:val="es-UY"/>
        </w:rPr>
      </w:pPr>
      <w:r w:rsidRPr="00AC7832">
        <w:rPr>
          <w:rFonts w:ascii="Arial" w:hAnsi="Arial" w:cs="Arial"/>
          <w:color w:val="000000"/>
          <w:sz w:val="20"/>
          <w:szCs w:val="20"/>
          <w:lang w:val="es-UY"/>
        </w:rPr>
        <w:t xml:space="preserve">–Creo que tenemos que distinguir “familia” de “parentesco”, pensando parentesco como ese grupo de personas de las que dependemos y que dependen de nosotros, una comunidad que participa de las mayores celebraciones y pérdidas de nuestras vidas. Creo que es un error restringir la idea de parentesco a la familia nuclear. Creo que todos necesitamos producir y sostener este tipo de comunidades. Demasiado peso emocional se deposita sobre la familia y la pareja, y encima estas instituciones deben abrirse a </w:t>
      </w:r>
      <w:r w:rsidRPr="00AC7832">
        <w:rPr>
          <w:rFonts w:ascii="Arial" w:hAnsi="Arial" w:cs="Arial"/>
          <w:color w:val="000000"/>
          <w:sz w:val="20"/>
          <w:szCs w:val="20"/>
          <w:lang w:val="es-UY"/>
        </w:rPr>
        <w:lastRenderedPageBreak/>
        <w:t>mundos más amplios. No es necesario estar unidos por la sangre o por el matrimonio para convertirse en esenciales unos para los otros. No solamente tenemos que imaginarnos más allá de estas maneras de relacionarnos sino también cómo podríamos vivir en ellas.</w:t>
      </w:r>
    </w:p>
    <w:p w:rsidR="00AC7832" w:rsidRPr="00AC7832" w:rsidRDefault="00AC7832" w:rsidP="00AC7832">
      <w:pPr>
        <w:shd w:val="clear" w:color="auto" w:fill="E2ECF6"/>
        <w:spacing w:before="150" w:line="360" w:lineRule="atLeast"/>
        <w:ind w:left="300" w:right="300"/>
        <w:rPr>
          <w:rFonts w:ascii="Arial" w:hAnsi="Arial" w:cs="Arial"/>
          <w:color w:val="000000"/>
          <w:sz w:val="20"/>
          <w:szCs w:val="20"/>
          <w:lang w:val="es-UY"/>
        </w:rPr>
      </w:pPr>
      <w:r w:rsidRPr="00AC7832">
        <w:rPr>
          <w:rFonts w:ascii="Arial" w:hAnsi="Arial" w:cs="Arial"/>
          <w:b/>
          <w:bCs/>
          <w:i/>
          <w:iCs/>
          <w:color w:val="000000"/>
          <w:sz w:val="20"/>
          <w:szCs w:val="20"/>
          <w:lang w:val="es-UY"/>
        </w:rPr>
        <w:t>Informe:</w:t>
      </w:r>
      <w:r w:rsidRPr="00AC7832">
        <w:rPr>
          <w:rFonts w:ascii="Arial" w:hAnsi="Arial" w:cs="Arial"/>
          <w:i/>
          <w:iCs/>
          <w:color w:val="000000"/>
          <w:sz w:val="20"/>
          <w:szCs w:val="20"/>
          <w:lang w:val="es-UY"/>
        </w:rPr>
        <w:t> Milagros Belgrano Rawson.</w:t>
      </w:r>
    </w:p>
    <w:p w:rsidR="0039003A" w:rsidRDefault="0039003A"/>
    <w:sectPr w:rsidR="0039003A" w:rsidSect="001434F9">
      <w:pgSz w:w="11900" w:h="16840"/>
      <w:pgMar w:top="1417" w:right="1701" w:bottom="1417" w:left="1701"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32"/>
    <w:rsid w:val="00003737"/>
    <w:rsid w:val="001434F9"/>
    <w:rsid w:val="0039003A"/>
    <w:rsid w:val="00AC7832"/>
    <w:rsid w:val="00B750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BB00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32"/>
  </w:style>
  <w:style w:type="paragraph" w:styleId="Ttulo1">
    <w:name w:val="heading 1"/>
    <w:basedOn w:val="Normal"/>
    <w:link w:val="Ttulo1Car"/>
    <w:uiPriority w:val="9"/>
    <w:qFormat/>
    <w:rsid w:val="00AC7832"/>
    <w:pPr>
      <w:spacing w:before="100" w:beforeAutospacing="1" w:after="100" w:afterAutospacing="1"/>
      <w:outlineLvl w:val="0"/>
    </w:pPr>
    <w:rPr>
      <w:rFonts w:ascii="Times New Roman" w:hAnsi="Times New Roman" w:cs="Times New Roman"/>
      <w:b/>
      <w:bCs/>
      <w:kern w:val="36"/>
      <w:sz w:val="48"/>
      <w:szCs w:val="48"/>
      <w:lang w:val="es-UY"/>
    </w:rPr>
  </w:style>
  <w:style w:type="paragraph" w:styleId="Ttulo2">
    <w:name w:val="heading 2"/>
    <w:basedOn w:val="Normal"/>
    <w:link w:val="Ttulo2Car"/>
    <w:uiPriority w:val="9"/>
    <w:qFormat/>
    <w:rsid w:val="00AC7832"/>
    <w:pPr>
      <w:spacing w:before="100" w:beforeAutospacing="1" w:after="100" w:afterAutospacing="1"/>
      <w:outlineLvl w:val="1"/>
    </w:pPr>
    <w:rPr>
      <w:rFonts w:ascii="Times New Roman" w:hAnsi="Times New Roman" w:cs="Times New Roman"/>
      <w:b/>
      <w:bCs/>
      <w:sz w:val="36"/>
      <w:szCs w:val="36"/>
      <w:lang w:val="es-UY"/>
    </w:rPr>
  </w:style>
  <w:style w:type="paragraph" w:styleId="Ttulo3">
    <w:name w:val="heading 3"/>
    <w:basedOn w:val="Normal"/>
    <w:link w:val="Ttulo3Car"/>
    <w:uiPriority w:val="9"/>
    <w:qFormat/>
    <w:rsid w:val="00AC7832"/>
    <w:pPr>
      <w:spacing w:before="100" w:beforeAutospacing="1" w:after="100" w:afterAutospacing="1"/>
      <w:outlineLvl w:val="2"/>
    </w:pPr>
    <w:rPr>
      <w:rFonts w:ascii="Times New Roman" w:hAnsi="Times New Roman" w:cs="Times New Roman"/>
      <w:b/>
      <w:bCs/>
      <w:sz w:val="27"/>
      <w:szCs w:val="27"/>
      <w:lang w:val="es-UY"/>
    </w:rPr>
  </w:style>
  <w:style w:type="paragraph" w:styleId="Ttulo4">
    <w:name w:val="heading 4"/>
    <w:basedOn w:val="Normal"/>
    <w:link w:val="Ttulo4Car"/>
    <w:uiPriority w:val="9"/>
    <w:qFormat/>
    <w:rsid w:val="00AC7832"/>
    <w:pPr>
      <w:spacing w:before="100" w:beforeAutospacing="1" w:after="100" w:afterAutospacing="1"/>
      <w:outlineLvl w:val="3"/>
    </w:pPr>
    <w:rPr>
      <w:rFonts w:ascii="Times New Roman" w:hAnsi="Times New Roman" w:cs="Times New Roman"/>
      <w:b/>
      <w:bCs/>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7832"/>
    <w:rPr>
      <w:rFonts w:ascii="Times New Roman" w:hAnsi="Times New Roman" w:cs="Times New Roman"/>
      <w:b/>
      <w:bCs/>
      <w:kern w:val="36"/>
      <w:sz w:val="48"/>
      <w:szCs w:val="48"/>
      <w:lang w:val="es-UY"/>
    </w:rPr>
  </w:style>
  <w:style w:type="character" w:customStyle="1" w:styleId="Ttulo2Car">
    <w:name w:val="Título 2 Car"/>
    <w:basedOn w:val="Fuentedeprrafopredeter"/>
    <w:link w:val="Ttulo2"/>
    <w:uiPriority w:val="9"/>
    <w:rsid w:val="00AC7832"/>
    <w:rPr>
      <w:rFonts w:ascii="Times New Roman" w:hAnsi="Times New Roman" w:cs="Times New Roman"/>
      <w:b/>
      <w:bCs/>
      <w:sz w:val="36"/>
      <w:szCs w:val="36"/>
      <w:lang w:val="es-UY"/>
    </w:rPr>
  </w:style>
  <w:style w:type="character" w:customStyle="1" w:styleId="Ttulo3Car">
    <w:name w:val="Título 3 Car"/>
    <w:basedOn w:val="Fuentedeprrafopredeter"/>
    <w:link w:val="Ttulo3"/>
    <w:uiPriority w:val="9"/>
    <w:rsid w:val="00AC7832"/>
    <w:rPr>
      <w:rFonts w:ascii="Times New Roman" w:hAnsi="Times New Roman" w:cs="Times New Roman"/>
      <w:b/>
      <w:bCs/>
      <w:sz w:val="27"/>
      <w:szCs w:val="27"/>
      <w:lang w:val="es-UY"/>
    </w:rPr>
  </w:style>
  <w:style w:type="character" w:customStyle="1" w:styleId="Ttulo4Car">
    <w:name w:val="Título 4 Car"/>
    <w:basedOn w:val="Fuentedeprrafopredeter"/>
    <w:link w:val="Ttulo4"/>
    <w:uiPriority w:val="9"/>
    <w:rsid w:val="00AC7832"/>
    <w:rPr>
      <w:rFonts w:ascii="Times New Roman" w:hAnsi="Times New Roman" w:cs="Times New Roman"/>
      <w:b/>
      <w:bCs/>
      <w:lang w:val="es-UY"/>
    </w:rPr>
  </w:style>
  <w:style w:type="character" w:customStyle="1" w:styleId="csoy">
    <w:name w:val="csoy"/>
    <w:basedOn w:val="Fuentedeprrafopredeter"/>
    <w:rsid w:val="00AC7832"/>
  </w:style>
  <w:style w:type="paragraph" w:customStyle="1" w:styleId="intro">
    <w:name w:val="intro"/>
    <w:basedOn w:val="Normal"/>
    <w:rsid w:val="00AC7832"/>
    <w:pPr>
      <w:spacing w:before="100" w:beforeAutospacing="1" w:after="100" w:afterAutospacing="1"/>
    </w:pPr>
    <w:rPr>
      <w:rFonts w:ascii="Times New Roman" w:hAnsi="Times New Roman" w:cs="Times New Roman"/>
      <w:sz w:val="20"/>
      <w:szCs w:val="20"/>
      <w:lang w:val="es-UY"/>
    </w:rPr>
  </w:style>
  <w:style w:type="paragraph" w:customStyle="1" w:styleId="autor">
    <w:name w:val="autor"/>
    <w:basedOn w:val="Normal"/>
    <w:rsid w:val="00AC7832"/>
    <w:pPr>
      <w:spacing w:before="100" w:beforeAutospacing="1" w:after="100" w:afterAutospacing="1"/>
    </w:pPr>
    <w:rPr>
      <w:rFonts w:ascii="Times New Roman" w:hAnsi="Times New Roman" w:cs="Times New Roman"/>
      <w:sz w:val="20"/>
      <w:szCs w:val="20"/>
      <w:lang w:val="es-UY"/>
    </w:rPr>
  </w:style>
  <w:style w:type="paragraph" w:styleId="NormalWeb">
    <w:name w:val="Normal (Web)"/>
    <w:basedOn w:val="Normal"/>
    <w:uiPriority w:val="99"/>
    <w:semiHidden/>
    <w:unhideWhenUsed/>
    <w:rsid w:val="00AC7832"/>
    <w:pPr>
      <w:spacing w:before="100" w:beforeAutospacing="1" w:after="100" w:afterAutospacing="1"/>
    </w:pPr>
    <w:rPr>
      <w:rFonts w:ascii="Times New Roman" w:hAnsi="Times New Roman" w:cs="Times New Roman"/>
      <w:sz w:val="20"/>
      <w:szCs w:val="20"/>
      <w:lang w:val="es-UY"/>
    </w:rPr>
  </w:style>
  <w:style w:type="character" w:styleId="Enfasis">
    <w:name w:val="Emphasis"/>
    <w:basedOn w:val="Fuentedeprrafopredeter"/>
    <w:uiPriority w:val="20"/>
    <w:qFormat/>
    <w:rsid w:val="00AC7832"/>
    <w:rPr>
      <w:i/>
      <w:iCs/>
    </w:rPr>
  </w:style>
  <w:style w:type="character" w:styleId="Textoennegrita">
    <w:name w:val="Strong"/>
    <w:basedOn w:val="Fuentedeprrafopredeter"/>
    <w:uiPriority w:val="22"/>
    <w:qFormat/>
    <w:rsid w:val="00AC783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32"/>
  </w:style>
  <w:style w:type="paragraph" w:styleId="Ttulo1">
    <w:name w:val="heading 1"/>
    <w:basedOn w:val="Normal"/>
    <w:link w:val="Ttulo1Car"/>
    <w:uiPriority w:val="9"/>
    <w:qFormat/>
    <w:rsid w:val="00AC7832"/>
    <w:pPr>
      <w:spacing w:before="100" w:beforeAutospacing="1" w:after="100" w:afterAutospacing="1"/>
      <w:outlineLvl w:val="0"/>
    </w:pPr>
    <w:rPr>
      <w:rFonts w:ascii="Times New Roman" w:hAnsi="Times New Roman" w:cs="Times New Roman"/>
      <w:b/>
      <w:bCs/>
      <w:kern w:val="36"/>
      <w:sz w:val="48"/>
      <w:szCs w:val="48"/>
      <w:lang w:val="es-UY"/>
    </w:rPr>
  </w:style>
  <w:style w:type="paragraph" w:styleId="Ttulo2">
    <w:name w:val="heading 2"/>
    <w:basedOn w:val="Normal"/>
    <w:link w:val="Ttulo2Car"/>
    <w:uiPriority w:val="9"/>
    <w:qFormat/>
    <w:rsid w:val="00AC7832"/>
    <w:pPr>
      <w:spacing w:before="100" w:beforeAutospacing="1" w:after="100" w:afterAutospacing="1"/>
      <w:outlineLvl w:val="1"/>
    </w:pPr>
    <w:rPr>
      <w:rFonts w:ascii="Times New Roman" w:hAnsi="Times New Roman" w:cs="Times New Roman"/>
      <w:b/>
      <w:bCs/>
      <w:sz w:val="36"/>
      <w:szCs w:val="36"/>
      <w:lang w:val="es-UY"/>
    </w:rPr>
  </w:style>
  <w:style w:type="paragraph" w:styleId="Ttulo3">
    <w:name w:val="heading 3"/>
    <w:basedOn w:val="Normal"/>
    <w:link w:val="Ttulo3Car"/>
    <w:uiPriority w:val="9"/>
    <w:qFormat/>
    <w:rsid w:val="00AC7832"/>
    <w:pPr>
      <w:spacing w:before="100" w:beforeAutospacing="1" w:after="100" w:afterAutospacing="1"/>
      <w:outlineLvl w:val="2"/>
    </w:pPr>
    <w:rPr>
      <w:rFonts w:ascii="Times New Roman" w:hAnsi="Times New Roman" w:cs="Times New Roman"/>
      <w:b/>
      <w:bCs/>
      <w:sz w:val="27"/>
      <w:szCs w:val="27"/>
      <w:lang w:val="es-UY"/>
    </w:rPr>
  </w:style>
  <w:style w:type="paragraph" w:styleId="Ttulo4">
    <w:name w:val="heading 4"/>
    <w:basedOn w:val="Normal"/>
    <w:link w:val="Ttulo4Car"/>
    <w:uiPriority w:val="9"/>
    <w:qFormat/>
    <w:rsid w:val="00AC7832"/>
    <w:pPr>
      <w:spacing w:before="100" w:beforeAutospacing="1" w:after="100" w:afterAutospacing="1"/>
      <w:outlineLvl w:val="3"/>
    </w:pPr>
    <w:rPr>
      <w:rFonts w:ascii="Times New Roman" w:hAnsi="Times New Roman" w:cs="Times New Roman"/>
      <w:b/>
      <w:bCs/>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7832"/>
    <w:rPr>
      <w:rFonts w:ascii="Times New Roman" w:hAnsi="Times New Roman" w:cs="Times New Roman"/>
      <w:b/>
      <w:bCs/>
      <w:kern w:val="36"/>
      <w:sz w:val="48"/>
      <w:szCs w:val="48"/>
      <w:lang w:val="es-UY"/>
    </w:rPr>
  </w:style>
  <w:style w:type="character" w:customStyle="1" w:styleId="Ttulo2Car">
    <w:name w:val="Título 2 Car"/>
    <w:basedOn w:val="Fuentedeprrafopredeter"/>
    <w:link w:val="Ttulo2"/>
    <w:uiPriority w:val="9"/>
    <w:rsid w:val="00AC7832"/>
    <w:rPr>
      <w:rFonts w:ascii="Times New Roman" w:hAnsi="Times New Roman" w:cs="Times New Roman"/>
      <w:b/>
      <w:bCs/>
      <w:sz w:val="36"/>
      <w:szCs w:val="36"/>
      <w:lang w:val="es-UY"/>
    </w:rPr>
  </w:style>
  <w:style w:type="character" w:customStyle="1" w:styleId="Ttulo3Car">
    <w:name w:val="Título 3 Car"/>
    <w:basedOn w:val="Fuentedeprrafopredeter"/>
    <w:link w:val="Ttulo3"/>
    <w:uiPriority w:val="9"/>
    <w:rsid w:val="00AC7832"/>
    <w:rPr>
      <w:rFonts w:ascii="Times New Roman" w:hAnsi="Times New Roman" w:cs="Times New Roman"/>
      <w:b/>
      <w:bCs/>
      <w:sz w:val="27"/>
      <w:szCs w:val="27"/>
      <w:lang w:val="es-UY"/>
    </w:rPr>
  </w:style>
  <w:style w:type="character" w:customStyle="1" w:styleId="Ttulo4Car">
    <w:name w:val="Título 4 Car"/>
    <w:basedOn w:val="Fuentedeprrafopredeter"/>
    <w:link w:val="Ttulo4"/>
    <w:uiPriority w:val="9"/>
    <w:rsid w:val="00AC7832"/>
    <w:rPr>
      <w:rFonts w:ascii="Times New Roman" w:hAnsi="Times New Roman" w:cs="Times New Roman"/>
      <w:b/>
      <w:bCs/>
      <w:lang w:val="es-UY"/>
    </w:rPr>
  </w:style>
  <w:style w:type="character" w:customStyle="1" w:styleId="csoy">
    <w:name w:val="csoy"/>
    <w:basedOn w:val="Fuentedeprrafopredeter"/>
    <w:rsid w:val="00AC7832"/>
  </w:style>
  <w:style w:type="paragraph" w:customStyle="1" w:styleId="intro">
    <w:name w:val="intro"/>
    <w:basedOn w:val="Normal"/>
    <w:rsid w:val="00AC7832"/>
    <w:pPr>
      <w:spacing w:before="100" w:beforeAutospacing="1" w:after="100" w:afterAutospacing="1"/>
    </w:pPr>
    <w:rPr>
      <w:rFonts w:ascii="Times New Roman" w:hAnsi="Times New Roman" w:cs="Times New Roman"/>
      <w:sz w:val="20"/>
      <w:szCs w:val="20"/>
      <w:lang w:val="es-UY"/>
    </w:rPr>
  </w:style>
  <w:style w:type="paragraph" w:customStyle="1" w:styleId="autor">
    <w:name w:val="autor"/>
    <w:basedOn w:val="Normal"/>
    <w:rsid w:val="00AC7832"/>
    <w:pPr>
      <w:spacing w:before="100" w:beforeAutospacing="1" w:after="100" w:afterAutospacing="1"/>
    </w:pPr>
    <w:rPr>
      <w:rFonts w:ascii="Times New Roman" w:hAnsi="Times New Roman" w:cs="Times New Roman"/>
      <w:sz w:val="20"/>
      <w:szCs w:val="20"/>
      <w:lang w:val="es-UY"/>
    </w:rPr>
  </w:style>
  <w:style w:type="paragraph" w:styleId="NormalWeb">
    <w:name w:val="Normal (Web)"/>
    <w:basedOn w:val="Normal"/>
    <w:uiPriority w:val="99"/>
    <w:semiHidden/>
    <w:unhideWhenUsed/>
    <w:rsid w:val="00AC7832"/>
    <w:pPr>
      <w:spacing w:before="100" w:beforeAutospacing="1" w:after="100" w:afterAutospacing="1"/>
    </w:pPr>
    <w:rPr>
      <w:rFonts w:ascii="Times New Roman" w:hAnsi="Times New Roman" w:cs="Times New Roman"/>
      <w:sz w:val="20"/>
      <w:szCs w:val="20"/>
      <w:lang w:val="es-UY"/>
    </w:rPr>
  </w:style>
  <w:style w:type="character" w:styleId="Enfasis">
    <w:name w:val="Emphasis"/>
    <w:basedOn w:val="Fuentedeprrafopredeter"/>
    <w:uiPriority w:val="20"/>
    <w:qFormat/>
    <w:rsid w:val="00AC7832"/>
    <w:rPr>
      <w:i/>
      <w:iCs/>
    </w:rPr>
  </w:style>
  <w:style w:type="character" w:styleId="Textoennegrita">
    <w:name w:val="Strong"/>
    <w:basedOn w:val="Fuentedeprrafopredeter"/>
    <w:uiPriority w:val="22"/>
    <w:qFormat/>
    <w:rsid w:val="00AC78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516896">
      <w:bodyDiv w:val="1"/>
      <w:marLeft w:val="0"/>
      <w:marRight w:val="0"/>
      <w:marTop w:val="0"/>
      <w:marBottom w:val="0"/>
      <w:divBdr>
        <w:top w:val="none" w:sz="0" w:space="0" w:color="auto"/>
        <w:left w:val="none" w:sz="0" w:space="0" w:color="auto"/>
        <w:bottom w:val="none" w:sz="0" w:space="0" w:color="auto"/>
        <w:right w:val="none" w:sz="0" w:space="0" w:color="auto"/>
      </w:divBdr>
      <w:divsChild>
        <w:div w:id="1228417108">
          <w:marLeft w:val="0"/>
          <w:marRight w:val="0"/>
          <w:marTop w:val="0"/>
          <w:marBottom w:val="0"/>
          <w:divBdr>
            <w:top w:val="none" w:sz="0" w:space="0" w:color="auto"/>
            <w:left w:val="none" w:sz="0" w:space="0" w:color="auto"/>
            <w:bottom w:val="none" w:sz="0" w:space="0" w:color="auto"/>
            <w:right w:val="none" w:sz="0" w:space="0" w:color="auto"/>
          </w:divBdr>
        </w:div>
        <w:div w:id="882519074">
          <w:marLeft w:val="0"/>
          <w:marRight w:val="0"/>
          <w:marTop w:val="0"/>
          <w:marBottom w:val="0"/>
          <w:divBdr>
            <w:top w:val="none" w:sz="0" w:space="0" w:color="auto"/>
            <w:left w:val="none" w:sz="0" w:space="0" w:color="auto"/>
            <w:bottom w:val="none" w:sz="0" w:space="0" w:color="auto"/>
            <w:right w:val="none" w:sz="0" w:space="0" w:color="auto"/>
          </w:divBdr>
        </w:div>
        <w:div w:id="857694425">
          <w:marLeft w:val="0"/>
          <w:marRight w:val="0"/>
          <w:marTop w:val="0"/>
          <w:marBottom w:val="0"/>
          <w:divBdr>
            <w:top w:val="none" w:sz="0" w:space="0" w:color="auto"/>
            <w:left w:val="none" w:sz="0" w:space="0" w:color="auto"/>
            <w:bottom w:val="none" w:sz="0" w:space="0" w:color="auto"/>
            <w:right w:val="none" w:sz="0" w:space="0" w:color="auto"/>
          </w:divBdr>
        </w:div>
        <w:div w:id="2107771272">
          <w:marLeft w:val="0"/>
          <w:marRight w:val="0"/>
          <w:marTop w:val="0"/>
          <w:marBottom w:val="0"/>
          <w:divBdr>
            <w:top w:val="none" w:sz="0" w:space="0" w:color="auto"/>
            <w:left w:val="none" w:sz="0" w:space="0" w:color="auto"/>
            <w:bottom w:val="none" w:sz="0" w:space="0" w:color="auto"/>
            <w:right w:val="none" w:sz="0" w:space="0" w:color="auto"/>
          </w:divBdr>
        </w:div>
        <w:div w:id="1172449379">
          <w:marLeft w:val="0"/>
          <w:marRight w:val="0"/>
          <w:marTop w:val="150"/>
          <w:marBottom w:val="0"/>
          <w:divBdr>
            <w:top w:val="none" w:sz="0" w:space="0" w:color="auto"/>
            <w:left w:val="none" w:sz="0" w:space="0" w:color="auto"/>
            <w:bottom w:val="none" w:sz="0" w:space="0" w:color="auto"/>
            <w:right w:val="none" w:sz="0" w:space="0" w:color="auto"/>
          </w:divBdr>
          <w:divsChild>
            <w:div w:id="6756880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pagina12.com.ar/imprimir/diario/suplementos/soy/1-742-2009-05-08.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2947</Words>
  <Characters>16211</Characters>
  <Application>Microsoft Macintosh Word</Application>
  <DocSecurity>0</DocSecurity>
  <Lines>135</Lines>
  <Paragraphs>38</Paragraphs>
  <ScaleCrop>false</ScaleCrop>
  <Company/>
  <LinksUpToDate>false</LinksUpToDate>
  <CharactersWithSpaces>19120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Marta Martínez Rodas</dc:creator>
  <cp:keywords/>
  <dc:description/>
  <cp:lastModifiedBy>Ana Marta Martínez Rodas</cp:lastModifiedBy>
  <cp:revision>1</cp:revision>
  <dcterms:created xsi:type="dcterms:W3CDTF">2024-03-26T16:19:00Z</dcterms:created>
  <dcterms:modified xsi:type="dcterms:W3CDTF">2024-03-26T16:26:00Z</dcterms:modified>
</cp:coreProperties>
</file>